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69BB8" w14:textId="488A9FF3" w:rsidR="00DF7F92" w:rsidRPr="00EF5B8A" w:rsidRDefault="00DE6CDC" w:rsidP="006F2102">
      <w:pPr>
        <w:rPr>
          <w:rFonts w:ascii="Dubai" w:hAnsi="Dubai" w:cs="Dubai"/>
        </w:rPr>
      </w:pPr>
      <w:r w:rsidRPr="00EF5B8A">
        <w:rPr>
          <w:rFonts w:ascii="Dubai" w:hAnsi="Dubai" w:cs="Dubai"/>
          <w:noProof/>
        </w:rPr>
        <mc:AlternateContent>
          <mc:Choice Requires="wps">
            <w:drawing>
              <wp:anchor distT="0" distB="0" distL="114300" distR="114300" simplePos="0" relativeHeight="251658240" behindDoc="0" locked="0" layoutInCell="1" allowOverlap="1" wp14:anchorId="7CA1D228" wp14:editId="0927065F">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96C98B9"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CA1D228" id="_x0000_t202" coordsize="21600,21600" o:spt="202" path="m,l,21600r21600,l21600,xe">
                <v:stroke joinstyle="miter"/>
                <v:path gradientshapeok="t" o:connecttype="rect"/>
              </v:shapetype>
              <v:shape id="Text Box 1" o:spid="_x0000_s1026" type="#_x0000_t202" alt="&quot;&quot;" style="position:absolute;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196C98B9" w14:textId="77777777" w:rsidR="00DE6CDC" w:rsidRDefault="00DE6CDC" w:rsidP="00B40F3A"/>
                  </w:txbxContent>
                </v:textbox>
                <w10:wrap anchorx="page" anchory="page"/>
              </v:shape>
            </w:pict>
          </mc:Fallback>
        </mc:AlternateContent>
      </w:r>
      <w:r w:rsidR="00DF7F92" w:rsidRPr="00EF5B8A">
        <w:rPr>
          <w:rFonts w:ascii="Dubai" w:hAnsi="Dubai" w:cs="Dubai"/>
          <w:noProof/>
        </w:rPr>
        <w:drawing>
          <wp:inline distT="0" distB="0" distL="0" distR="0" wp14:anchorId="4248B826" wp14:editId="7110D7BA">
            <wp:extent cx="1872000" cy="713313"/>
            <wp:effectExtent l="0" t="0" r="0" b="0"/>
            <wp:docPr id="565503408"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03408"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5140BC48" w14:textId="473CAC0A" w:rsidR="007B0256" w:rsidRPr="003D2C6F" w:rsidRDefault="00000000" w:rsidP="000412F8">
      <w:pPr>
        <w:pStyle w:val="Heading1"/>
        <w:bidi/>
        <w:spacing w:before="480" w:after="240"/>
        <w:contextualSpacing w:val="0"/>
        <w:rPr>
          <w:rFonts w:ascii="Dubai" w:hAnsi="Dubai" w:cs="Dubai"/>
          <w:b/>
          <w:sz w:val="42"/>
          <w:szCs w:val="42"/>
        </w:rPr>
      </w:pPr>
      <w:sdt>
        <w:sdtPr>
          <w:rPr>
            <w:rFonts w:ascii="Dubai" w:hAnsi="Dubai" w:cs="Dubai"/>
            <w:b/>
            <w:kern w:val="0"/>
            <w:sz w:val="42"/>
            <w:szCs w:val="42"/>
            <w:rtl/>
            <w14:ligatures w14:val="none"/>
          </w:rPr>
          <w:alias w:val="Title"/>
          <w:id w:val="98798435"/>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121AB4">
            <w:rPr>
              <w:rFonts w:ascii="Dubai" w:hAnsi="Dubai" w:cs="Dubai"/>
              <w:b/>
              <w:kern w:val="0"/>
              <w:sz w:val="42"/>
              <w:szCs w:val="42"/>
              <w:rtl/>
              <w14:ligatures w14:val="none"/>
            </w:rPr>
            <w:t>ورقة حقائق مجلس أصول بيانات الإعاقة الوطنية</w:t>
          </w:r>
        </w:sdtContent>
      </w:sdt>
    </w:p>
    <w:p w14:paraId="3B83F936" w14:textId="77777777" w:rsidR="00525E2B" w:rsidRPr="00EF5B8A" w:rsidRDefault="00937865" w:rsidP="000412F8">
      <w:pPr>
        <w:bidi/>
        <w:spacing w:before="240" w:after="120"/>
        <w:rPr>
          <w:rFonts w:ascii="Dubai" w:hAnsi="Dubai" w:cs="Dubai"/>
        </w:rPr>
      </w:pPr>
      <w:r w:rsidRPr="00EF5B8A">
        <w:rPr>
          <w:rFonts w:ascii="Dubai" w:hAnsi="Dubai" w:cs="Dubai"/>
          <w:rtl/>
          <w:lang w:val="ar"/>
        </w:rPr>
        <w:t xml:space="preserve">يحكم أصول بيانات الإعاقة الوطنية كل من الأشخاص ذوي الإعاقة والحكومات. هذا مثال على الحوكمة المشتركة الشاملة. يعني مصطلح الحوكمة المشتركة الشاملة أن الحكومات ومجتمع الإعاقة الأوسع يتشاركان المسؤولية وصنع القرار بشأن أصول بيانات الإعاقة الوطنية. </w:t>
      </w:r>
    </w:p>
    <w:p w14:paraId="50FC6B67" w14:textId="77777777" w:rsidR="00A63172" w:rsidRPr="00EF5B8A" w:rsidRDefault="00937865" w:rsidP="000412F8">
      <w:pPr>
        <w:bidi/>
        <w:spacing w:before="240" w:after="240"/>
        <w:rPr>
          <w:rFonts w:ascii="Dubai" w:hAnsi="Dubai" w:cs="Dubai"/>
        </w:rPr>
      </w:pPr>
      <w:r w:rsidRPr="00EF5B8A">
        <w:rPr>
          <w:rFonts w:ascii="Dubai" w:hAnsi="Dubai" w:cs="Dubai"/>
          <w:rtl/>
          <w:lang w:val="ar"/>
        </w:rPr>
        <w:t>تتمثل إحدى الطرق التي تتم بها الإدارة المشتركة لأصول بيانات الإعاقة الوطنية بشكل شامل من خلال مجلس أصول بيانات الإعاقة الوطنية (المجلس).</w:t>
      </w:r>
    </w:p>
    <w:p w14:paraId="7EB11FA3" w14:textId="77777777" w:rsidR="00333401" w:rsidRPr="00EB45F1" w:rsidRDefault="00937865" w:rsidP="00810EEE">
      <w:pPr>
        <w:pStyle w:val="Heading2"/>
        <w:bidi/>
        <w:rPr>
          <w:rFonts w:ascii="Dubai" w:hAnsi="Dubai" w:cs="Dubai"/>
          <w:b/>
        </w:rPr>
      </w:pPr>
      <w:r w:rsidRPr="00EB45F1">
        <w:rPr>
          <w:rFonts w:ascii="Dubai" w:hAnsi="Dubai" w:cs="Dubai"/>
          <w:b/>
          <w:szCs w:val="32"/>
          <w:rtl/>
          <w:lang w:val="ar"/>
        </w:rPr>
        <w:t>أعضاء</w:t>
      </w:r>
      <w:r w:rsidRPr="00EB45F1">
        <w:rPr>
          <w:rFonts w:ascii="Dubai" w:hAnsi="Dubai" w:cs="Dubai"/>
          <w:b/>
          <w:rtl/>
          <w:lang w:val="ar"/>
        </w:rPr>
        <w:t xml:space="preserve"> </w:t>
      </w:r>
      <w:r w:rsidRPr="00EB45F1">
        <w:rPr>
          <w:rFonts w:ascii="Dubai" w:hAnsi="Dubai" w:cs="Dubai"/>
          <w:b/>
          <w:szCs w:val="32"/>
          <w:rtl/>
        </w:rPr>
        <w:t>المجلس</w:t>
      </w:r>
    </w:p>
    <w:p w14:paraId="6C17AC85" w14:textId="77777777" w:rsidR="000162B1" w:rsidRPr="00EF5B8A" w:rsidRDefault="00937865" w:rsidP="000412F8">
      <w:pPr>
        <w:bidi/>
        <w:spacing w:before="120" w:after="120"/>
        <w:rPr>
          <w:rFonts w:ascii="Dubai" w:hAnsi="Dubai" w:cs="Dubai"/>
        </w:rPr>
      </w:pPr>
      <w:r w:rsidRPr="00EF5B8A">
        <w:rPr>
          <w:rFonts w:ascii="Dubai" w:hAnsi="Dubai" w:cs="Dubai"/>
          <w:rtl/>
          <w:lang w:val="ar"/>
        </w:rPr>
        <w:t>يتألف المجلس من 12 عضوًا:</w:t>
      </w:r>
    </w:p>
    <w:p w14:paraId="63425157" w14:textId="77777777" w:rsidR="000162B1" w:rsidRPr="00EF5B8A" w:rsidRDefault="00937865" w:rsidP="000412F8">
      <w:pPr>
        <w:pStyle w:val="ListParagraph"/>
        <w:numPr>
          <w:ilvl w:val="0"/>
          <w:numId w:val="5"/>
        </w:numPr>
        <w:bidi/>
        <w:spacing w:before="120" w:after="120"/>
        <w:contextualSpacing w:val="0"/>
        <w:rPr>
          <w:rFonts w:ascii="Dubai" w:hAnsi="Dubai" w:cs="Dubai"/>
        </w:rPr>
      </w:pPr>
      <w:r w:rsidRPr="00EF5B8A">
        <w:rPr>
          <w:rFonts w:ascii="Dubai" w:hAnsi="Dubai" w:cs="Dubai"/>
          <w:rtl/>
          <w:lang w:val="ar"/>
        </w:rPr>
        <w:t>6 من الحكومة الأسترالية</w:t>
      </w:r>
    </w:p>
    <w:p w14:paraId="02376D85" w14:textId="77777777" w:rsidR="000162B1" w:rsidRPr="00EF5B8A" w:rsidRDefault="00937865" w:rsidP="000412F8">
      <w:pPr>
        <w:pStyle w:val="ListParagraph"/>
        <w:numPr>
          <w:ilvl w:val="0"/>
          <w:numId w:val="5"/>
        </w:numPr>
        <w:bidi/>
        <w:spacing w:before="120" w:after="120"/>
        <w:contextualSpacing w:val="0"/>
        <w:rPr>
          <w:rFonts w:ascii="Dubai" w:hAnsi="Dubai" w:cs="Dubai"/>
        </w:rPr>
      </w:pPr>
      <w:r w:rsidRPr="00EF5B8A">
        <w:rPr>
          <w:rFonts w:ascii="Dubai" w:hAnsi="Dubai" w:cs="Dubai"/>
          <w:rtl/>
          <w:lang w:val="ar"/>
        </w:rPr>
        <w:t>3 من حكومات الولايات والأقاليم</w:t>
      </w:r>
    </w:p>
    <w:p w14:paraId="237144E9" w14:textId="77777777" w:rsidR="000162B1" w:rsidRPr="00EF5B8A" w:rsidRDefault="00937865" w:rsidP="000412F8">
      <w:pPr>
        <w:pStyle w:val="ListParagraph"/>
        <w:numPr>
          <w:ilvl w:val="0"/>
          <w:numId w:val="5"/>
        </w:numPr>
        <w:bidi/>
        <w:spacing w:before="120" w:after="120"/>
        <w:contextualSpacing w:val="0"/>
        <w:rPr>
          <w:rFonts w:ascii="Dubai" w:hAnsi="Dubai" w:cs="Dubai"/>
        </w:rPr>
      </w:pPr>
      <w:r w:rsidRPr="00EF5B8A">
        <w:rPr>
          <w:rFonts w:ascii="Dubai" w:hAnsi="Dubai" w:cs="Dubai"/>
          <w:rtl/>
          <w:lang w:val="ar"/>
        </w:rPr>
        <w:t xml:space="preserve">3 خبراء في الإعاقة/البيانات  </w:t>
      </w:r>
    </w:p>
    <w:p w14:paraId="4B6D5DF6" w14:textId="77777777" w:rsidR="006D125C" w:rsidRPr="00EF5B8A" w:rsidRDefault="00937865" w:rsidP="000412F8">
      <w:pPr>
        <w:pStyle w:val="ListParagraph"/>
        <w:numPr>
          <w:ilvl w:val="0"/>
          <w:numId w:val="5"/>
        </w:numPr>
        <w:bidi/>
        <w:spacing w:before="120" w:after="120"/>
        <w:ind w:left="714" w:hanging="357"/>
        <w:contextualSpacing w:val="0"/>
        <w:rPr>
          <w:rFonts w:ascii="Dubai" w:hAnsi="Dubai" w:cs="Dubai"/>
        </w:rPr>
      </w:pPr>
      <w:r w:rsidRPr="00EF5B8A">
        <w:rPr>
          <w:rFonts w:ascii="Dubai" w:hAnsi="Dubai" w:cs="Dubai"/>
          <w:rtl/>
          <w:lang w:val="ar"/>
        </w:rPr>
        <w:t>و3 من أفراد مجتمع الإعاقة.</w:t>
      </w:r>
    </w:p>
    <w:p w14:paraId="3DBA8381" w14:textId="77777777" w:rsidR="000162B1" w:rsidRPr="00EF5B8A" w:rsidRDefault="00937865" w:rsidP="000412F8">
      <w:pPr>
        <w:bidi/>
        <w:spacing w:before="240" w:after="120"/>
        <w:rPr>
          <w:rFonts w:ascii="Dubai" w:hAnsi="Dubai" w:cs="Dubai"/>
          <w:bCs/>
        </w:rPr>
      </w:pPr>
      <w:r w:rsidRPr="00EF5B8A">
        <w:rPr>
          <w:rFonts w:ascii="Dubai" w:hAnsi="Dubai" w:cs="Dubai"/>
          <w:rtl/>
          <w:lang w:val="ar"/>
        </w:rPr>
        <w:t>يمثّل عضوًا واحدًا من أعضاء مجتمع الإعاقة وعضوًا واحدًا من الحكومة الأسترالية الرئيسين المشاركين للمجلس.</w:t>
      </w:r>
    </w:p>
    <w:p w14:paraId="3753BD3C" w14:textId="77777777" w:rsidR="006D125C" w:rsidRPr="003D2C6F" w:rsidRDefault="00937865" w:rsidP="00F73BF3">
      <w:pPr>
        <w:pStyle w:val="Heading2"/>
        <w:bidi/>
        <w:rPr>
          <w:rFonts w:ascii="Dubai" w:hAnsi="Dubai" w:cs="Dubai"/>
          <w:b/>
          <w:szCs w:val="32"/>
        </w:rPr>
      </w:pPr>
      <w:r w:rsidRPr="003D2C6F">
        <w:rPr>
          <w:rFonts w:ascii="Dubai" w:hAnsi="Dubai" w:cs="Dubai"/>
          <w:b/>
          <w:szCs w:val="32"/>
          <w:rtl/>
          <w:lang w:val="ar"/>
        </w:rPr>
        <w:t>دور المجلس ومسؤولياته</w:t>
      </w:r>
    </w:p>
    <w:p w14:paraId="228F8AAE" w14:textId="77777777" w:rsidR="006D125C" w:rsidRPr="00EF5B8A" w:rsidRDefault="00937865" w:rsidP="000412F8">
      <w:pPr>
        <w:bidi/>
        <w:spacing w:before="240" w:after="120"/>
        <w:rPr>
          <w:rFonts w:ascii="Dubai" w:hAnsi="Dubai" w:cs="Dubai"/>
        </w:rPr>
      </w:pPr>
      <w:r w:rsidRPr="00EF5B8A">
        <w:rPr>
          <w:rFonts w:ascii="Dubai" w:hAnsi="Dubai" w:cs="Dubai"/>
          <w:rtl/>
          <w:lang w:val="ar"/>
        </w:rPr>
        <w:t>يقدم المجلس توصيات إلى وزراء شؤون الإعاقة بشأن:</w:t>
      </w:r>
    </w:p>
    <w:p w14:paraId="77C7ED8E" w14:textId="77777777" w:rsidR="006D125C" w:rsidRPr="00EF5B8A" w:rsidRDefault="00937865" w:rsidP="000412F8">
      <w:pPr>
        <w:pStyle w:val="ListParagraph"/>
        <w:bidi/>
        <w:spacing w:before="120" w:after="120"/>
        <w:rPr>
          <w:rFonts w:ascii="Dubai" w:hAnsi="Dubai" w:cs="Dubai"/>
        </w:rPr>
      </w:pPr>
      <w:r w:rsidRPr="00EF5B8A">
        <w:rPr>
          <w:rFonts w:ascii="Dubai" w:hAnsi="Dubai" w:cs="Dubai"/>
          <w:rtl/>
          <w:lang w:val="ar"/>
        </w:rPr>
        <w:t>التوجه الاستراتيجي لأصول بيانات الإعاقة الوطنية</w:t>
      </w:r>
    </w:p>
    <w:p w14:paraId="4BF15134" w14:textId="77777777" w:rsidR="006D125C" w:rsidRPr="00EF5B8A" w:rsidRDefault="00937865" w:rsidP="000412F8">
      <w:pPr>
        <w:pStyle w:val="ListParagraph"/>
        <w:bidi/>
        <w:spacing w:before="120" w:after="240"/>
        <w:contextualSpacing w:val="0"/>
        <w:rPr>
          <w:rFonts w:ascii="Dubai" w:hAnsi="Dubai" w:cs="Dubai"/>
        </w:rPr>
      </w:pPr>
      <w:r w:rsidRPr="00EF5B8A">
        <w:rPr>
          <w:rFonts w:ascii="Dubai" w:hAnsi="Dubai" w:cs="Dubai"/>
          <w:rtl/>
          <w:lang w:val="ar"/>
        </w:rPr>
        <w:t>كيفية تحسين النتائج للأشخاص ذوي الإعاقة.</w:t>
      </w:r>
    </w:p>
    <w:p w14:paraId="03C51209" w14:textId="77777777" w:rsidR="006D125C" w:rsidRPr="003D2C6F" w:rsidRDefault="00937865" w:rsidP="00F73BF3">
      <w:pPr>
        <w:pStyle w:val="Heading3"/>
        <w:keepNext/>
        <w:bidi/>
        <w:rPr>
          <w:rFonts w:ascii="Dubai" w:hAnsi="Dubai" w:cs="Dubai"/>
          <w:b/>
          <w:szCs w:val="28"/>
        </w:rPr>
      </w:pPr>
      <w:r w:rsidRPr="003D2C6F">
        <w:rPr>
          <w:rFonts w:ascii="Dubai" w:hAnsi="Dubai" w:cs="Dubai"/>
          <w:b/>
          <w:szCs w:val="28"/>
          <w:rtl/>
          <w:lang w:val="ar"/>
        </w:rPr>
        <w:lastRenderedPageBreak/>
        <w:t>ميثاق أصول بيانات الإعاقة الوطنية</w:t>
      </w:r>
    </w:p>
    <w:p w14:paraId="3A518417" w14:textId="31FCA3C7" w:rsidR="006D125C" w:rsidRPr="00EF5B8A" w:rsidRDefault="00965BCE" w:rsidP="00F73BF3">
      <w:pPr>
        <w:keepNext/>
        <w:bidi/>
        <w:spacing w:before="240" w:after="120"/>
        <w:rPr>
          <w:rFonts w:ascii="Dubai" w:hAnsi="Dubai" w:cs="Dubai"/>
        </w:rPr>
      </w:pPr>
      <w:hyperlink r:id="rId13" w:history="1">
        <w:r>
          <w:rPr>
            <w:rStyle w:val="Hyperlink"/>
            <w:rFonts w:ascii="Dubai" w:hAnsi="Dubai" w:cs="Dubai"/>
            <w:rtl/>
            <w:lang w:val="ar"/>
          </w:rPr>
          <w:t>ميثاق أصول بيانات الإعاقة الوطنية (الميثاق)</w:t>
        </w:r>
      </w:hyperlink>
      <w:r w:rsidR="00937865" w:rsidRPr="00EF5B8A">
        <w:rPr>
          <w:rFonts w:ascii="Dubai" w:hAnsi="Dubai" w:cs="Dubai"/>
          <w:rtl/>
          <w:lang w:val="ar"/>
        </w:rPr>
        <w:t xml:space="preserve"> هو وثيقة حول كيفية استخدام أصول بيانات الإعاقة الوطنية. </w:t>
      </w:r>
    </w:p>
    <w:p w14:paraId="64452F42" w14:textId="77777777" w:rsidR="006D125C" w:rsidRPr="00EF5B8A" w:rsidRDefault="00937865" w:rsidP="000412F8">
      <w:pPr>
        <w:bidi/>
        <w:spacing w:before="120" w:after="120"/>
        <w:rPr>
          <w:rFonts w:ascii="Dubai" w:hAnsi="Dubai" w:cs="Dubai"/>
        </w:rPr>
      </w:pPr>
      <w:r w:rsidRPr="00EF5B8A">
        <w:rPr>
          <w:rFonts w:ascii="Dubai" w:hAnsi="Dubai" w:cs="Dubai"/>
          <w:rtl/>
          <w:lang w:val="ar"/>
        </w:rPr>
        <w:t xml:space="preserve">تمت كتابة الميثاق من قبل أعضاء مجتمع الإعاقة. يستخدم المجلس الميثاق لتوجيه استخدام أصول بيانات الإعاقة الوطنية. </w:t>
      </w:r>
    </w:p>
    <w:p w14:paraId="4D32ED10" w14:textId="77777777" w:rsidR="006D125C" w:rsidRPr="003D2C6F" w:rsidRDefault="00937865" w:rsidP="000412F8">
      <w:pPr>
        <w:pStyle w:val="Heading3"/>
        <w:keepNext/>
        <w:bidi/>
        <w:rPr>
          <w:rFonts w:ascii="Dubai" w:hAnsi="Dubai" w:cs="Dubai"/>
          <w:b/>
          <w:szCs w:val="28"/>
        </w:rPr>
      </w:pPr>
      <w:r w:rsidRPr="003D2C6F">
        <w:rPr>
          <w:rFonts w:ascii="Dubai" w:hAnsi="Dubai" w:cs="Dubai"/>
          <w:b/>
          <w:szCs w:val="28"/>
          <w:rtl/>
          <w:lang w:val="ar"/>
        </w:rPr>
        <w:t>البحث الشامل</w:t>
      </w:r>
    </w:p>
    <w:p w14:paraId="35BD62D8" w14:textId="77777777" w:rsidR="00266278" w:rsidRPr="00EF5B8A" w:rsidRDefault="00937865" w:rsidP="000412F8">
      <w:pPr>
        <w:bidi/>
        <w:spacing w:before="240" w:after="120"/>
        <w:rPr>
          <w:rFonts w:ascii="Dubai" w:hAnsi="Dubai" w:cs="Dubai"/>
        </w:rPr>
      </w:pPr>
      <w:r w:rsidRPr="00EF5B8A">
        <w:rPr>
          <w:rFonts w:ascii="Dubai" w:hAnsi="Dubai" w:cs="Dubai"/>
          <w:rtl/>
          <w:lang w:val="ar"/>
        </w:rPr>
        <w:t xml:space="preserve">يتطلب الميثاق أن يتم تطوير بعض المشاريع البحثية من قبل الأشخاص ذوي الإعاقة ومجتمع الإعاقة الأوسع. المجلس مسؤول عن تحديد أهداف لعدد المشاريع البحثية التي يجب تطويرها مع الأشخاص ذوي الإعاقة ومجتمع الإعاقة الأوسع. </w:t>
      </w:r>
    </w:p>
    <w:p w14:paraId="3D85BEC1" w14:textId="77777777" w:rsidR="006D125C" w:rsidRPr="003D2C6F" w:rsidRDefault="00937865" w:rsidP="000412F8">
      <w:pPr>
        <w:pStyle w:val="Heading3"/>
        <w:bidi/>
        <w:rPr>
          <w:rFonts w:ascii="Dubai" w:hAnsi="Dubai" w:cs="Dubai"/>
          <w:b/>
          <w:szCs w:val="28"/>
        </w:rPr>
      </w:pPr>
      <w:r w:rsidRPr="003D2C6F">
        <w:rPr>
          <w:rFonts w:ascii="Dubai" w:hAnsi="Dubai" w:cs="Dubai"/>
          <w:b/>
          <w:szCs w:val="28"/>
          <w:rtl/>
          <w:lang w:val="ar"/>
        </w:rPr>
        <w:t>بناء الثقة والإبلاغ عن التقدم المحرز</w:t>
      </w:r>
    </w:p>
    <w:p w14:paraId="4EF3B420" w14:textId="0BD99B8B" w:rsidR="006D125C" w:rsidRPr="00EF5B8A" w:rsidRDefault="00937865" w:rsidP="000412F8">
      <w:pPr>
        <w:bidi/>
        <w:spacing w:before="240" w:after="240"/>
        <w:rPr>
          <w:rFonts w:ascii="Dubai" w:hAnsi="Dubai" w:cs="Dubai"/>
        </w:rPr>
      </w:pPr>
      <w:r w:rsidRPr="00EF5B8A">
        <w:rPr>
          <w:rFonts w:ascii="Dubai" w:hAnsi="Dubai" w:cs="Dubai"/>
          <w:rtl/>
          <w:lang w:val="ar"/>
        </w:rPr>
        <w:t xml:space="preserve">يهدف المجلس إلى بناء الثقة في أصول بيانات الإعاقة الوطنية مع الأشخاص ذوي الإعاقة ومجتمع الإعاقة الأوسع. يفعل ذلك عن طريق نشر معلومات حول القرارات التي يتخذها والعمل الذي يقوم به على موقع </w:t>
      </w:r>
      <w:hyperlink r:id="rId14" w:history="1">
        <w:r w:rsidRPr="00EF5B8A">
          <w:rPr>
            <w:rStyle w:val="Hyperlink"/>
            <w:rFonts w:ascii="Dubai" w:hAnsi="Dubai" w:cs="Dubai"/>
            <w:rtl/>
            <w:lang w:val="ar"/>
          </w:rPr>
          <w:t>www.ndda.gov.au</w:t>
        </w:r>
      </w:hyperlink>
      <w:r w:rsidRPr="00EF5B8A">
        <w:rPr>
          <w:rFonts w:ascii="Dubai" w:hAnsi="Dubai" w:cs="Dubai"/>
          <w:rtl/>
          <w:lang w:val="ar"/>
        </w:rPr>
        <w:t xml:space="preserve"> الإلكتروني. هذه المعلومات متوفرة أيضا بالقراءة السهلة Easy Read ولغة الإشارة الأسترالية Auslan. </w:t>
      </w:r>
    </w:p>
    <w:p w14:paraId="76520A6F" w14:textId="77777777" w:rsidR="006D125C" w:rsidRPr="003D2C6F" w:rsidRDefault="00937865" w:rsidP="00F73BF3">
      <w:pPr>
        <w:pStyle w:val="Heading2"/>
        <w:bidi/>
        <w:rPr>
          <w:rFonts w:ascii="Dubai" w:hAnsi="Dubai" w:cs="Dubai"/>
          <w:b/>
          <w:szCs w:val="32"/>
        </w:rPr>
      </w:pPr>
      <w:r w:rsidRPr="003D2C6F">
        <w:rPr>
          <w:rFonts w:ascii="Dubai" w:hAnsi="Dubai" w:cs="Dubai"/>
          <w:b/>
          <w:szCs w:val="32"/>
          <w:rtl/>
          <w:lang w:val="ar"/>
        </w:rPr>
        <w:t>اللجان الاستشارية</w:t>
      </w:r>
    </w:p>
    <w:p w14:paraId="44674A39" w14:textId="77777777" w:rsidR="00CE41A9" w:rsidRPr="00EF5B8A" w:rsidRDefault="00937865" w:rsidP="000412F8">
      <w:pPr>
        <w:bidi/>
        <w:spacing w:before="240" w:after="240"/>
        <w:rPr>
          <w:rFonts w:ascii="Dubai" w:hAnsi="Dubai" w:cs="Dubai"/>
        </w:rPr>
      </w:pPr>
      <w:r w:rsidRPr="00EF5B8A">
        <w:rPr>
          <w:rFonts w:ascii="Dubai" w:hAnsi="Dubai" w:cs="Dubai"/>
          <w:rtl/>
          <w:lang w:val="ar"/>
        </w:rPr>
        <w:t xml:space="preserve">يسترشد المجلس </w:t>
      </w:r>
      <w:hyperlink r:id="rId15" w:history="1">
        <w:r w:rsidRPr="00EF5B8A">
          <w:rPr>
            <w:rStyle w:val="Hyperlink"/>
            <w:rFonts w:ascii="Dubai" w:hAnsi="Dubai" w:cs="Dubai"/>
            <w:rtl/>
            <w:lang w:val="ar"/>
          </w:rPr>
          <w:t>باللجان الاستشارية</w:t>
        </w:r>
      </w:hyperlink>
      <w:r w:rsidRPr="00EF5B8A">
        <w:rPr>
          <w:rFonts w:ascii="Dubai" w:hAnsi="Dubai" w:cs="Dubai"/>
          <w:rtl/>
          <w:lang w:val="ar"/>
        </w:rPr>
        <w:t xml:space="preserve"> التي تضم الأشخاص ذوي الإعاقة و/أو المعرفة بالإعاقة. اللجان الثلاث الأولى هي لجنة مؤشرات الإعاقة، ولجنة تحديد نطاق تطوير بيانات الإعاقة، ولجنة الرقابة الأخلاقية المستنيرة للإعاقة.</w:t>
      </w:r>
    </w:p>
    <w:p w14:paraId="499736F6" w14:textId="74F93054" w:rsidR="0039608A" w:rsidRPr="00EF5B8A" w:rsidRDefault="00937865" w:rsidP="000412F8">
      <w:pPr>
        <w:bidi/>
        <w:spacing w:before="120" w:after="120"/>
        <w:rPr>
          <w:rFonts w:ascii="Dubai" w:hAnsi="Dubai" w:cs="Dubai"/>
        </w:rPr>
      </w:pPr>
      <w:r w:rsidRPr="00EF5B8A">
        <w:rPr>
          <w:rFonts w:ascii="Dubai" w:hAnsi="Dubai" w:cs="Dubai"/>
          <w:rtl/>
          <w:lang w:val="ar"/>
        </w:rPr>
        <w:t xml:space="preserve">يمكنك العثور على مزيد من المعلومات حول أصول بيانات الإعاقة الوطنية على </w:t>
      </w:r>
      <w:hyperlink r:id="rId16" w:tgtFrame="_blank" w:history="1">
        <w:r w:rsidRPr="00EF5B8A">
          <w:rPr>
            <w:rStyle w:val="Hyperlink"/>
            <w:rFonts w:ascii="Dubai" w:hAnsi="Dubai" w:cs="Dubai"/>
            <w:b/>
            <w:bCs/>
            <w:rtl/>
            <w:lang w:val="ar"/>
          </w:rPr>
          <w:t>www.ndda.gov.au</w:t>
        </w:r>
      </w:hyperlink>
      <w:r w:rsidRPr="00EF5B8A">
        <w:rPr>
          <w:rFonts w:ascii="Dubai" w:hAnsi="Dubai" w:cs="Dubai"/>
          <w:rtl/>
          <w:lang w:val="ar"/>
        </w:rPr>
        <w:t xml:space="preserve"> أو عن طريق إرسال بريد إلكتروني </w:t>
      </w:r>
      <w:r w:rsidRPr="00BB5099">
        <w:rPr>
          <w:rFonts w:ascii="Dubai" w:hAnsi="Dubai" w:cs="Dubai"/>
          <w:rtl/>
          <w:lang w:val="ar"/>
        </w:rPr>
        <w:t xml:space="preserve">إلى </w:t>
      </w:r>
      <w:hyperlink r:id="rId17" w:history="1">
        <w:r w:rsidRPr="00BB5099">
          <w:rPr>
            <w:rStyle w:val="Hyperlink"/>
            <w:rFonts w:ascii="Dubai" w:hAnsi="Dubai" w:cs="Dubai"/>
            <w:b/>
            <w:bCs/>
            <w:rtl/>
            <w:lang w:val="ar"/>
          </w:rPr>
          <w:t>NDDA@dss.gov.au</w:t>
        </w:r>
      </w:hyperlink>
      <w:r w:rsidRPr="00BB5099">
        <w:rPr>
          <w:rFonts w:ascii="Dubai" w:hAnsi="Dubai" w:cs="Dubai"/>
          <w:rtl/>
          <w:lang w:val="ar"/>
        </w:rPr>
        <w:t>.</w:t>
      </w:r>
    </w:p>
    <w:sectPr w:rsidR="0039608A" w:rsidRPr="00EF5B8A"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870EB" w14:textId="77777777" w:rsidR="00DE12FB" w:rsidRDefault="00DE12FB">
      <w:pPr>
        <w:spacing w:before="0" w:after="0" w:line="240" w:lineRule="auto"/>
      </w:pPr>
      <w:r>
        <w:separator/>
      </w:r>
    </w:p>
  </w:endnote>
  <w:endnote w:type="continuationSeparator" w:id="0">
    <w:p w14:paraId="122354FB" w14:textId="77777777" w:rsidR="00DE12FB" w:rsidRDefault="00DE12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957A2494-F1A6-4025-B4C9-95102628B4E2}"/>
  </w:font>
  <w:font w:name="Times New Roman">
    <w:panose1 w:val="02020603050405020304"/>
    <w:charset w:val="00"/>
    <w:family w:val="roman"/>
    <w:pitch w:val="variable"/>
    <w:sig w:usb0="E0002EFF" w:usb1="C000785B" w:usb2="00000009" w:usb3="00000000" w:csb0="000001FF" w:csb1="00000000"/>
    <w:embedRegular r:id="rId2" w:fontKey="{3F1AEDF5-50D3-4EF2-8F5E-1E78E79CB0DF}"/>
    <w:embedBold r:id="rId3" w:fontKey="{645E984B-C3D8-4C78-90A7-B2BF9C52CF66}"/>
    <w:embedItalic r:id="rId4" w:fontKey="{A2FA4589-E6FA-4E55-8AA3-A66C870A1693}"/>
    <w:embedBoldItalic r:id="rId5" w:fontKey="{ABBAF6AB-CA27-4765-BC77-8DAF1BA3FB7E}"/>
  </w:font>
  <w:font w:name="Courier New">
    <w:panose1 w:val="02070309020205020404"/>
    <w:charset w:val="00"/>
    <w:family w:val="modern"/>
    <w:pitch w:val="fixed"/>
    <w:sig w:usb0="E0002EFF" w:usb1="C0007843" w:usb2="00000009" w:usb3="00000000" w:csb0="000001FF" w:csb1="00000000"/>
    <w:embedRegular r:id="rId6" w:fontKey="{8F8E61D8-217E-4990-A053-D396BAE2F777}"/>
  </w:font>
  <w:font w:name="Wingdings">
    <w:panose1 w:val="05000000000000000000"/>
    <w:charset w:val="02"/>
    <w:family w:val="auto"/>
    <w:pitch w:val="variable"/>
    <w:sig w:usb0="00000000" w:usb1="10000000" w:usb2="00000000" w:usb3="00000000" w:csb0="80000000" w:csb1="00000000"/>
    <w:embedRegular r:id="rId7" w:fontKey="{5547F35A-A361-41E6-9EFE-52ACEE992733}"/>
  </w:font>
  <w:font w:name="Montserrat">
    <w:charset w:val="00"/>
    <w:family w:val="auto"/>
    <w:pitch w:val="variable"/>
    <w:sig w:usb0="2000020F" w:usb1="00000003" w:usb2="00000000" w:usb3="00000000" w:csb0="00000197" w:csb1="00000000"/>
    <w:embedRegular r:id="rId8" w:fontKey="{65762457-67CC-4CBD-BEEE-D244E51476D6}"/>
    <w:embedBold r:id="rId9" w:fontKey="{88A35C8E-48FD-46FA-952D-84DFE068CCAA}"/>
    <w:embedItalic r:id="rId10" w:fontKey="{99EE29F5-8C73-4C38-9727-289B52D25CD4}"/>
    <w:embedBoldItalic r:id="rId11" w:fontKey="{527BAC66-5038-4325-AF35-0E29057DBA43}"/>
  </w:font>
  <w:font w:name="Montserrat SemiBold">
    <w:charset w:val="00"/>
    <w:family w:val="auto"/>
    <w:pitch w:val="variable"/>
    <w:sig w:usb0="2000020F" w:usb1="00000003" w:usb2="00000000" w:usb3="00000000" w:csb0="00000197" w:csb1="00000000"/>
    <w:embedRegular r:id="rId12" w:fontKey="{D0730FF8-31BE-42D3-AC47-26B4C163FB93}"/>
    <w:embedItalic r:id="rId13" w:fontKey="{A0D70DE9-7515-4A8B-AF99-B7A2B7867BDA}"/>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74B5BCF8-DA77-42DE-B967-96B3EBED1EB6}"/>
    <w:embedItalic r:id="rId15" w:fontKey="{618F469F-CABA-4169-929C-C49B291DB145}"/>
    <w:embedBoldItalic r:id="rId16" w:fontKey="{E9749B5F-56C0-48D9-96CB-F7D2DA8D6B77}"/>
  </w:font>
  <w:font w:name="Dubai">
    <w:panose1 w:val="020B0503030403030204"/>
    <w:charset w:val="00"/>
    <w:family w:val="swiss"/>
    <w:pitch w:val="variable"/>
    <w:sig w:usb0="80002067" w:usb1="80000000" w:usb2="00000008" w:usb3="00000000" w:csb0="00000041" w:csb1="00000000"/>
    <w:embedRegular r:id="rId17" w:fontKey="{B266A937-EB11-4655-9FFC-5524590230B9}"/>
    <w:embedBold r:id="rId18" w:fontKey="{89E71AC6-CF9F-4D62-B0BD-948C6AD1450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F19FA" w14:textId="6DA47CE2" w:rsidR="00C66C23" w:rsidRPr="00C66C23" w:rsidRDefault="00C66C23" w:rsidP="00C66C23">
    <w:pPr>
      <w:pStyle w:val="Footer"/>
      <w:bidi/>
      <w:rPr>
        <w:rFonts w:ascii="Dubai" w:hAnsi="Dubai" w:cs="Dubai"/>
        <w:lang w:val="en-US"/>
      </w:rPr>
    </w:pPr>
    <w:r w:rsidRPr="00C66C23">
      <w:rPr>
        <w:rFonts w:ascii="Dubai" w:hAnsi="Dubai" w:cs="Dubai"/>
        <w:lang w:val="ar"/>
      </w:rPr>
      <w:t>Arabic</w:t>
    </w:r>
    <w:r w:rsidRPr="00C66C23">
      <w:rPr>
        <w:rFonts w:ascii="Dubai" w:hAnsi="Dubai" w:cs="Dubai"/>
        <w:rtl/>
        <w:lang w:val="ar"/>
      </w:rPr>
      <w:t xml:space="preserve"> | </w:t>
    </w:r>
    <w:r w:rsidRPr="00C66C23">
      <w:rPr>
        <w:rFonts w:ascii="Dubai" w:hAnsi="Dubai" w:cs="Dubai" w:hint="cs"/>
        <w:rtl/>
        <w:lang w:val="ar"/>
      </w:rPr>
      <w:t>العربية</w:t>
    </w:r>
    <w:r w:rsidR="00937865" w:rsidRPr="00EF5B8A">
      <w:rPr>
        <w:rFonts w:ascii="Dubai" w:hAnsi="Dubai" w:cs="Dubai"/>
        <w:noProof/>
      </w:rPr>
      <mc:AlternateContent>
        <mc:Choice Requires="wps">
          <w:drawing>
            <wp:anchor distT="0" distB="0" distL="114300" distR="114300" simplePos="0" relativeHeight="251664384" behindDoc="0" locked="0" layoutInCell="1" allowOverlap="1" wp14:anchorId="32E7B552" wp14:editId="7E23CF45">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9F802D3"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2E7B552"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69F802D3" w14:textId="77777777" w:rsidR="00E23BEC" w:rsidRDefault="00E23BEC" w:rsidP="00B40F3A"/>
                </w:txbxContent>
              </v:textbox>
              <w10:wrap anchorx="page" anchory="page"/>
            </v:shape>
          </w:pict>
        </mc:Fallback>
      </mc:AlternateContent>
    </w:r>
    <w:r w:rsidR="00611DDE" w:rsidRPr="00EF5B8A">
      <w:rPr>
        <w:rFonts w:ascii="Dubai" w:hAnsi="Dubai" w:cs="Dubai"/>
        <w:noProof/>
      </w:rPr>
      <w:drawing>
        <wp:anchor distT="0" distB="0" distL="114300" distR="114300" simplePos="0" relativeHeight="251659264" behindDoc="0" locked="0" layoutInCell="1" allowOverlap="1" wp14:anchorId="3ED38B05" wp14:editId="5489098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650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Pr>
        <w:rFonts w:ascii="Dubai" w:hAnsi="Dubai" w:cs="Dubai"/>
        <w:lang w:val="en-US"/>
      </w:rPr>
      <w:tab/>
    </w:r>
    <w:r w:rsidR="00E16768" w:rsidRPr="00EF5B8A">
      <w:rPr>
        <w:rFonts w:ascii="Dubai" w:hAnsi="Dubai" w:cs="Dubai"/>
        <w:rtl/>
        <w:lang w:val="ar"/>
      </w:rPr>
      <w:tab/>
    </w:r>
    <w:r>
      <w:rPr>
        <w:rFonts w:ascii="Dubai" w:hAnsi="Dubai" w:cs="Dubai"/>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33BA4" w14:textId="7693FAE9" w:rsidR="00C66C23" w:rsidRPr="00EF5B8A" w:rsidRDefault="00C66C23" w:rsidP="00C66C23">
    <w:pPr>
      <w:pStyle w:val="Footer"/>
      <w:bidi/>
      <w:rPr>
        <w:rFonts w:ascii="Dubai" w:hAnsi="Dubai" w:cs="Dubai"/>
      </w:rPr>
    </w:pPr>
    <w:r w:rsidRPr="00C66C23">
      <w:rPr>
        <w:rFonts w:ascii="Dubai" w:hAnsi="Dubai" w:cs="Dubai"/>
      </w:rPr>
      <w:t>Arabic</w:t>
    </w:r>
    <w:r w:rsidRPr="00C66C23">
      <w:rPr>
        <w:rFonts w:ascii="Dubai" w:hAnsi="Dubai" w:cs="Dubai"/>
        <w:rtl/>
      </w:rPr>
      <w:t xml:space="preserve"> | </w:t>
    </w:r>
    <w:r w:rsidRPr="00C66C23">
      <w:rPr>
        <w:rFonts w:ascii="Dubai" w:hAnsi="Dubai" w:cs="Dubai" w:hint="cs"/>
        <w:rtl/>
      </w:rPr>
      <w:t>العربية</w:t>
    </w:r>
    <w:r w:rsidR="00121AB4" w:rsidRPr="00EF5B8A">
      <w:rPr>
        <w:rFonts w:ascii="Dubai" w:hAnsi="Dubai" w:cs="Dubai"/>
        <w:noProof/>
      </w:rPr>
      <mc:AlternateContent>
        <mc:Choice Requires="wps">
          <w:drawing>
            <wp:anchor distT="0" distB="0" distL="114300" distR="114300" simplePos="0" relativeHeight="251662336" behindDoc="0" locked="0" layoutInCell="1" allowOverlap="1" wp14:anchorId="305EADED" wp14:editId="77557948">
              <wp:simplePos x="0" y="0"/>
              <wp:positionH relativeFrom="page">
                <wp:posOffset>3199130</wp:posOffset>
              </wp:positionH>
              <wp:positionV relativeFrom="page">
                <wp:posOffset>10177145</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4C2BE76"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05EADED" id="_x0000_t202" coordsize="21600,21600" o:spt="202" path="m,l,21600r21600,l21600,xe">
              <v:stroke joinstyle="miter"/>
              <v:path gradientshapeok="t" o:connecttype="rect"/>
            </v:shapetype>
            <v:shape id="_x0000_s1029" type="#_x0000_t202" alt="&quot;&quot;" style="position:absolute;left:0;text-align:left;margin-left:251.9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" filled="f" stroked="f" strokeweight=".5pt">
              <v:textbox>
                <w:txbxContent>
                  <w:p w14:paraId="64C2BE76" w14:textId="77777777" w:rsidR="00E23BEC" w:rsidRDefault="00E23BEC" w:rsidP="00B40F3A"/>
                </w:txbxContent>
              </v:textbox>
              <w10:wrap anchorx="page" anchory="page"/>
            </v:shape>
          </w:pict>
        </mc:Fallback>
      </mc:AlternateContent>
    </w:r>
    <w:r w:rsidR="00937865" w:rsidRPr="00EF5B8A">
      <w:rPr>
        <w:rFonts w:ascii="Dubai" w:hAnsi="Dubai" w:cs="Dubai"/>
        <w:noProof/>
      </w:rPr>
      <w:drawing>
        <wp:anchor distT="0" distB="0" distL="114300" distR="114300" simplePos="0" relativeHeight="251658240" behindDoc="0" locked="0" layoutInCell="1" allowOverlap="1" wp14:anchorId="283F10D4" wp14:editId="19B591D2">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737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Pr>
        <w:rFonts w:ascii="Dubai" w:hAnsi="Dubai" w:cs="Dubai"/>
      </w:rPr>
      <w:tab/>
    </w:r>
    <w:r>
      <w:rPr>
        <w:rFonts w:ascii="Dubai" w:hAnsi="Dubai" w:cs="Dubai"/>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D20CF" w14:textId="77777777" w:rsidR="00DE12FB" w:rsidRDefault="00DE12FB">
      <w:pPr>
        <w:spacing w:before="0" w:after="0" w:line="240" w:lineRule="auto"/>
      </w:pPr>
      <w:r>
        <w:separator/>
      </w:r>
    </w:p>
  </w:footnote>
  <w:footnote w:type="continuationSeparator" w:id="0">
    <w:p w14:paraId="1C93180F" w14:textId="77777777" w:rsidR="00DE12FB" w:rsidRDefault="00DE12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8FC3F" w14:textId="77777777" w:rsidR="001255B8" w:rsidRDefault="00937865" w:rsidP="006F2102">
    <w:pPr>
      <w:pStyle w:val="Header"/>
    </w:pPr>
    <w:r>
      <w:rPr>
        <w:noProof/>
      </w:rPr>
      <mc:AlternateContent>
        <mc:Choice Requires="wps">
          <w:drawing>
            <wp:anchor distT="0" distB="0" distL="114300" distR="114300" simplePos="0" relativeHeight="251660288" behindDoc="0" locked="0" layoutInCell="1" allowOverlap="1" wp14:anchorId="22594D94" wp14:editId="5701E28F">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7881A48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2594D94" id="_x0000_t202" coordsize="21600,21600" o:spt="202" path="m,l,21600r21600,l21600,xe">
              <v:stroke joinstyle="miter"/>
              <v:path gradientshapeok="t" o:connecttype="rect"/>
            </v:shapetype>
            <v:shape id="_x0000_s1027" type="#_x0000_t202" alt="&quot;&quot;" style="position:absolute;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7881A480" w14:textId="77777777" w:rsidR="00DE6CDC" w:rsidRDefault="00DE6CDC" w:rsidP="00B40F3A"/>
                </w:txbxContent>
              </v:textbox>
              <w10:wrap anchorx="margin" anchory="page"/>
            </v:shape>
          </w:pict>
        </mc:Fallback>
      </mc:AlternateContent>
    </w:r>
    <w:r w:rsidR="001255B8">
      <w:rPr>
        <w:noProof/>
      </w:rPr>
      <w:drawing>
        <wp:inline distT="0" distB="0" distL="0" distR="0" wp14:anchorId="7E5D5FD6" wp14:editId="16F5A7F4">
          <wp:extent cx="1872000" cy="713313"/>
          <wp:effectExtent l="0" t="0" r="0" b="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6601B5AE"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11401"/>
    <w:multiLevelType w:val="hybridMultilevel"/>
    <w:tmpl w:val="5F7CA974"/>
    <w:lvl w:ilvl="0" w:tplc="4CCEED82">
      <w:start w:val="1"/>
      <w:numFmt w:val="bullet"/>
      <w:lvlText w:val=""/>
      <w:lvlJc w:val="left"/>
      <w:pPr>
        <w:ind w:left="720" w:hanging="360"/>
      </w:pPr>
      <w:rPr>
        <w:rFonts w:ascii="Symbol" w:hAnsi="Symbol" w:hint="default"/>
      </w:rPr>
    </w:lvl>
    <w:lvl w:ilvl="1" w:tplc="36E2EDF8" w:tentative="1">
      <w:start w:val="1"/>
      <w:numFmt w:val="bullet"/>
      <w:lvlText w:val="o"/>
      <w:lvlJc w:val="left"/>
      <w:pPr>
        <w:ind w:left="1440" w:hanging="360"/>
      </w:pPr>
      <w:rPr>
        <w:rFonts w:ascii="Courier New" w:hAnsi="Courier New" w:cs="Courier New" w:hint="default"/>
      </w:rPr>
    </w:lvl>
    <w:lvl w:ilvl="2" w:tplc="E78A3062" w:tentative="1">
      <w:start w:val="1"/>
      <w:numFmt w:val="bullet"/>
      <w:lvlText w:val=""/>
      <w:lvlJc w:val="left"/>
      <w:pPr>
        <w:ind w:left="2160" w:hanging="360"/>
      </w:pPr>
      <w:rPr>
        <w:rFonts w:ascii="Wingdings" w:hAnsi="Wingdings" w:hint="default"/>
      </w:rPr>
    </w:lvl>
    <w:lvl w:ilvl="3" w:tplc="A9B6521C" w:tentative="1">
      <w:start w:val="1"/>
      <w:numFmt w:val="bullet"/>
      <w:lvlText w:val=""/>
      <w:lvlJc w:val="left"/>
      <w:pPr>
        <w:ind w:left="2880" w:hanging="360"/>
      </w:pPr>
      <w:rPr>
        <w:rFonts w:ascii="Symbol" w:hAnsi="Symbol" w:hint="default"/>
      </w:rPr>
    </w:lvl>
    <w:lvl w:ilvl="4" w:tplc="5476A922" w:tentative="1">
      <w:start w:val="1"/>
      <w:numFmt w:val="bullet"/>
      <w:lvlText w:val="o"/>
      <w:lvlJc w:val="left"/>
      <w:pPr>
        <w:ind w:left="3600" w:hanging="360"/>
      </w:pPr>
      <w:rPr>
        <w:rFonts w:ascii="Courier New" w:hAnsi="Courier New" w:cs="Courier New" w:hint="default"/>
      </w:rPr>
    </w:lvl>
    <w:lvl w:ilvl="5" w:tplc="FD649FC2" w:tentative="1">
      <w:start w:val="1"/>
      <w:numFmt w:val="bullet"/>
      <w:lvlText w:val=""/>
      <w:lvlJc w:val="left"/>
      <w:pPr>
        <w:ind w:left="4320" w:hanging="360"/>
      </w:pPr>
      <w:rPr>
        <w:rFonts w:ascii="Wingdings" w:hAnsi="Wingdings" w:hint="default"/>
      </w:rPr>
    </w:lvl>
    <w:lvl w:ilvl="6" w:tplc="7090A538" w:tentative="1">
      <w:start w:val="1"/>
      <w:numFmt w:val="bullet"/>
      <w:lvlText w:val=""/>
      <w:lvlJc w:val="left"/>
      <w:pPr>
        <w:ind w:left="5040" w:hanging="360"/>
      </w:pPr>
      <w:rPr>
        <w:rFonts w:ascii="Symbol" w:hAnsi="Symbol" w:hint="default"/>
      </w:rPr>
    </w:lvl>
    <w:lvl w:ilvl="7" w:tplc="F97C8F7A" w:tentative="1">
      <w:start w:val="1"/>
      <w:numFmt w:val="bullet"/>
      <w:lvlText w:val="o"/>
      <w:lvlJc w:val="left"/>
      <w:pPr>
        <w:ind w:left="5760" w:hanging="360"/>
      </w:pPr>
      <w:rPr>
        <w:rFonts w:ascii="Courier New" w:hAnsi="Courier New" w:cs="Courier New" w:hint="default"/>
      </w:rPr>
    </w:lvl>
    <w:lvl w:ilvl="8" w:tplc="B9163350"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166CA4A6">
      <w:start w:val="1"/>
      <w:numFmt w:val="bullet"/>
      <w:pStyle w:val="ListParagraph"/>
      <w:lvlText w:val=""/>
      <w:lvlJc w:val="left"/>
      <w:pPr>
        <w:ind w:left="1440" w:hanging="360"/>
      </w:pPr>
      <w:rPr>
        <w:rFonts w:ascii="Symbol" w:hAnsi="Symbol" w:hint="default"/>
      </w:rPr>
    </w:lvl>
    <w:lvl w:ilvl="1" w:tplc="136EB06A">
      <w:start w:val="1"/>
      <w:numFmt w:val="bullet"/>
      <w:lvlText w:val="o"/>
      <w:lvlJc w:val="left"/>
      <w:pPr>
        <w:ind w:left="2160" w:hanging="360"/>
      </w:pPr>
      <w:rPr>
        <w:rFonts w:ascii="Courier New" w:hAnsi="Courier New" w:cs="Courier New" w:hint="default"/>
      </w:rPr>
    </w:lvl>
    <w:lvl w:ilvl="2" w:tplc="57D04602" w:tentative="1">
      <w:start w:val="1"/>
      <w:numFmt w:val="bullet"/>
      <w:lvlText w:val=""/>
      <w:lvlJc w:val="left"/>
      <w:pPr>
        <w:ind w:left="2880" w:hanging="360"/>
      </w:pPr>
      <w:rPr>
        <w:rFonts w:ascii="Wingdings" w:hAnsi="Wingdings" w:hint="default"/>
      </w:rPr>
    </w:lvl>
    <w:lvl w:ilvl="3" w:tplc="43187202" w:tentative="1">
      <w:start w:val="1"/>
      <w:numFmt w:val="bullet"/>
      <w:lvlText w:val=""/>
      <w:lvlJc w:val="left"/>
      <w:pPr>
        <w:ind w:left="3600" w:hanging="360"/>
      </w:pPr>
      <w:rPr>
        <w:rFonts w:ascii="Symbol" w:hAnsi="Symbol" w:hint="default"/>
      </w:rPr>
    </w:lvl>
    <w:lvl w:ilvl="4" w:tplc="46741E70" w:tentative="1">
      <w:start w:val="1"/>
      <w:numFmt w:val="bullet"/>
      <w:lvlText w:val="o"/>
      <w:lvlJc w:val="left"/>
      <w:pPr>
        <w:ind w:left="4320" w:hanging="360"/>
      </w:pPr>
      <w:rPr>
        <w:rFonts w:ascii="Courier New" w:hAnsi="Courier New" w:cs="Courier New" w:hint="default"/>
      </w:rPr>
    </w:lvl>
    <w:lvl w:ilvl="5" w:tplc="F426EAA0" w:tentative="1">
      <w:start w:val="1"/>
      <w:numFmt w:val="bullet"/>
      <w:lvlText w:val=""/>
      <w:lvlJc w:val="left"/>
      <w:pPr>
        <w:ind w:left="5040" w:hanging="360"/>
      </w:pPr>
      <w:rPr>
        <w:rFonts w:ascii="Wingdings" w:hAnsi="Wingdings" w:hint="default"/>
      </w:rPr>
    </w:lvl>
    <w:lvl w:ilvl="6" w:tplc="B2BE9CA4" w:tentative="1">
      <w:start w:val="1"/>
      <w:numFmt w:val="bullet"/>
      <w:lvlText w:val=""/>
      <w:lvlJc w:val="left"/>
      <w:pPr>
        <w:ind w:left="5760" w:hanging="360"/>
      </w:pPr>
      <w:rPr>
        <w:rFonts w:ascii="Symbol" w:hAnsi="Symbol" w:hint="default"/>
      </w:rPr>
    </w:lvl>
    <w:lvl w:ilvl="7" w:tplc="E68C33BE" w:tentative="1">
      <w:start w:val="1"/>
      <w:numFmt w:val="bullet"/>
      <w:lvlText w:val="o"/>
      <w:lvlJc w:val="left"/>
      <w:pPr>
        <w:ind w:left="6480" w:hanging="360"/>
      </w:pPr>
      <w:rPr>
        <w:rFonts w:ascii="Courier New" w:hAnsi="Courier New" w:cs="Courier New" w:hint="default"/>
      </w:rPr>
    </w:lvl>
    <w:lvl w:ilvl="8" w:tplc="687CBD82"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3E0CB238">
      <w:start w:val="1"/>
      <w:numFmt w:val="bullet"/>
      <w:lvlText w:val=""/>
      <w:lvlJc w:val="left"/>
      <w:pPr>
        <w:ind w:left="720" w:hanging="360"/>
      </w:pPr>
      <w:rPr>
        <w:rFonts w:ascii="Symbol" w:hAnsi="Symbol" w:hint="default"/>
      </w:rPr>
    </w:lvl>
    <w:lvl w:ilvl="1" w:tplc="8EF838AA" w:tentative="1">
      <w:start w:val="1"/>
      <w:numFmt w:val="bullet"/>
      <w:lvlText w:val="o"/>
      <w:lvlJc w:val="left"/>
      <w:pPr>
        <w:ind w:left="1440" w:hanging="360"/>
      </w:pPr>
      <w:rPr>
        <w:rFonts w:ascii="Courier New" w:hAnsi="Courier New" w:cs="Courier New" w:hint="default"/>
      </w:rPr>
    </w:lvl>
    <w:lvl w:ilvl="2" w:tplc="2294DA24" w:tentative="1">
      <w:start w:val="1"/>
      <w:numFmt w:val="bullet"/>
      <w:lvlText w:val=""/>
      <w:lvlJc w:val="left"/>
      <w:pPr>
        <w:ind w:left="2160" w:hanging="360"/>
      </w:pPr>
      <w:rPr>
        <w:rFonts w:ascii="Wingdings" w:hAnsi="Wingdings" w:hint="default"/>
      </w:rPr>
    </w:lvl>
    <w:lvl w:ilvl="3" w:tplc="32A8CCA6" w:tentative="1">
      <w:start w:val="1"/>
      <w:numFmt w:val="bullet"/>
      <w:lvlText w:val=""/>
      <w:lvlJc w:val="left"/>
      <w:pPr>
        <w:ind w:left="2880" w:hanging="360"/>
      </w:pPr>
      <w:rPr>
        <w:rFonts w:ascii="Symbol" w:hAnsi="Symbol" w:hint="default"/>
      </w:rPr>
    </w:lvl>
    <w:lvl w:ilvl="4" w:tplc="90DA62E0" w:tentative="1">
      <w:start w:val="1"/>
      <w:numFmt w:val="bullet"/>
      <w:lvlText w:val="o"/>
      <w:lvlJc w:val="left"/>
      <w:pPr>
        <w:ind w:left="3600" w:hanging="360"/>
      </w:pPr>
      <w:rPr>
        <w:rFonts w:ascii="Courier New" w:hAnsi="Courier New" w:cs="Courier New" w:hint="default"/>
      </w:rPr>
    </w:lvl>
    <w:lvl w:ilvl="5" w:tplc="B330B064" w:tentative="1">
      <w:start w:val="1"/>
      <w:numFmt w:val="bullet"/>
      <w:lvlText w:val=""/>
      <w:lvlJc w:val="left"/>
      <w:pPr>
        <w:ind w:left="4320" w:hanging="360"/>
      </w:pPr>
      <w:rPr>
        <w:rFonts w:ascii="Wingdings" w:hAnsi="Wingdings" w:hint="default"/>
      </w:rPr>
    </w:lvl>
    <w:lvl w:ilvl="6" w:tplc="6172C468" w:tentative="1">
      <w:start w:val="1"/>
      <w:numFmt w:val="bullet"/>
      <w:lvlText w:val=""/>
      <w:lvlJc w:val="left"/>
      <w:pPr>
        <w:ind w:left="5040" w:hanging="360"/>
      </w:pPr>
      <w:rPr>
        <w:rFonts w:ascii="Symbol" w:hAnsi="Symbol" w:hint="default"/>
      </w:rPr>
    </w:lvl>
    <w:lvl w:ilvl="7" w:tplc="4D8A345E" w:tentative="1">
      <w:start w:val="1"/>
      <w:numFmt w:val="bullet"/>
      <w:lvlText w:val="o"/>
      <w:lvlJc w:val="left"/>
      <w:pPr>
        <w:ind w:left="5760" w:hanging="360"/>
      </w:pPr>
      <w:rPr>
        <w:rFonts w:ascii="Courier New" w:hAnsi="Courier New" w:cs="Courier New" w:hint="default"/>
      </w:rPr>
    </w:lvl>
    <w:lvl w:ilvl="8" w:tplc="60E82686"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FA3C51CE">
      <w:start w:val="1"/>
      <w:numFmt w:val="bullet"/>
      <w:lvlText w:val=""/>
      <w:lvlJc w:val="left"/>
      <w:pPr>
        <w:ind w:left="720" w:hanging="360"/>
      </w:pPr>
      <w:rPr>
        <w:rFonts w:ascii="Symbol" w:hAnsi="Symbol" w:hint="default"/>
      </w:rPr>
    </w:lvl>
    <w:lvl w:ilvl="1" w:tplc="E42612DA">
      <w:start w:val="1"/>
      <w:numFmt w:val="bullet"/>
      <w:lvlText w:val="o"/>
      <w:lvlJc w:val="left"/>
      <w:pPr>
        <w:ind w:left="1440" w:hanging="360"/>
      </w:pPr>
      <w:rPr>
        <w:rFonts w:ascii="Courier New" w:hAnsi="Courier New" w:cs="Courier New" w:hint="default"/>
      </w:rPr>
    </w:lvl>
    <w:lvl w:ilvl="2" w:tplc="78527EF6" w:tentative="1">
      <w:start w:val="1"/>
      <w:numFmt w:val="bullet"/>
      <w:lvlText w:val=""/>
      <w:lvlJc w:val="left"/>
      <w:pPr>
        <w:ind w:left="2160" w:hanging="360"/>
      </w:pPr>
      <w:rPr>
        <w:rFonts w:ascii="Wingdings" w:hAnsi="Wingdings" w:hint="default"/>
      </w:rPr>
    </w:lvl>
    <w:lvl w:ilvl="3" w:tplc="046E5CEE" w:tentative="1">
      <w:start w:val="1"/>
      <w:numFmt w:val="bullet"/>
      <w:lvlText w:val=""/>
      <w:lvlJc w:val="left"/>
      <w:pPr>
        <w:ind w:left="2880" w:hanging="360"/>
      </w:pPr>
      <w:rPr>
        <w:rFonts w:ascii="Symbol" w:hAnsi="Symbol" w:hint="default"/>
      </w:rPr>
    </w:lvl>
    <w:lvl w:ilvl="4" w:tplc="69BCE0E0" w:tentative="1">
      <w:start w:val="1"/>
      <w:numFmt w:val="bullet"/>
      <w:lvlText w:val="o"/>
      <w:lvlJc w:val="left"/>
      <w:pPr>
        <w:ind w:left="3600" w:hanging="360"/>
      </w:pPr>
      <w:rPr>
        <w:rFonts w:ascii="Courier New" w:hAnsi="Courier New" w:cs="Courier New" w:hint="default"/>
      </w:rPr>
    </w:lvl>
    <w:lvl w:ilvl="5" w:tplc="B35AFE36" w:tentative="1">
      <w:start w:val="1"/>
      <w:numFmt w:val="bullet"/>
      <w:lvlText w:val=""/>
      <w:lvlJc w:val="left"/>
      <w:pPr>
        <w:ind w:left="4320" w:hanging="360"/>
      </w:pPr>
      <w:rPr>
        <w:rFonts w:ascii="Wingdings" w:hAnsi="Wingdings" w:hint="default"/>
      </w:rPr>
    </w:lvl>
    <w:lvl w:ilvl="6" w:tplc="1854D822" w:tentative="1">
      <w:start w:val="1"/>
      <w:numFmt w:val="bullet"/>
      <w:lvlText w:val=""/>
      <w:lvlJc w:val="left"/>
      <w:pPr>
        <w:ind w:left="5040" w:hanging="360"/>
      </w:pPr>
      <w:rPr>
        <w:rFonts w:ascii="Symbol" w:hAnsi="Symbol" w:hint="default"/>
      </w:rPr>
    </w:lvl>
    <w:lvl w:ilvl="7" w:tplc="2B584E34" w:tentative="1">
      <w:start w:val="1"/>
      <w:numFmt w:val="bullet"/>
      <w:lvlText w:val="o"/>
      <w:lvlJc w:val="left"/>
      <w:pPr>
        <w:ind w:left="5760" w:hanging="360"/>
      </w:pPr>
      <w:rPr>
        <w:rFonts w:ascii="Courier New" w:hAnsi="Courier New" w:cs="Courier New" w:hint="default"/>
      </w:rPr>
    </w:lvl>
    <w:lvl w:ilvl="8" w:tplc="843C5250"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CA34C30C">
      <w:start w:val="1"/>
      <w:numFmt w:val="bullet"/>
      <w:lvlText w:val=""/>
      <w:lvlJc w:val="left"/>
      <w:pPr>
        <w:ind w:left="720" w:hanging="360"/>
      </w:pPr>
      <w:rPr>
        <w:rFonts w:ascii="Symbol" w:hAnsi="Symbol" w:hint="default"/>
      </w:rPr>
    </w:lvl>
    <w:lvl w:ilvl="1" w:tplc="43489066">
      <w:start w:val="1"/>
      <w:numFmt w:val="bullet"/>
      <w:lvlText w:val="o"/>
      <w:lvlJc w:val="left"/>
      <w:pPr>
        <w:ind w:left="1440" w:hanging="360"/>
      </w:pPr>
      <w:rPr>
        <w:rFonts w:ascii="Courier New" w:hAnsi="Courier New" w:cs="Courier New" w:hint="default"/>
      </w:rPr>
    </w:lvl>
    <w:lvl w:ilvl="2" w:tplc="3FFE5140">
      <w:start w:val="1"/>
      <w:numFmt w:val="bullet"/>
      <w:lvlText w:val=""/>
      <w:lvlJc w:val="left"/>
      <w:pPr>
        <w:ind w:left="2160" w:hanging="360"/>
      </w:pPr>
      <w:rPr>
        <w:rFonts w:ascii="Wingdings" w:hAnsi="Wingdings" w:hint="default"/>
      </w:rPr>
    </w:lvl>
    <w:lvl w:ilvl="3" w:tplc="6D666D42" w:tentative="1">
      <w:start w:val="1"/>
      <w:numFmt w:val="bullet"/>
      <w:lvlText w:val=""/>
      <w:lvlJc w:val="left"/>
      <w:pPr>
        <w:ind w:left="2880" w:hanging="360"/>
      </w:pPr>
      <w:rPr>
        <w:rFonts w:ascii="Symbol" w:hAnsi="Symbol" w:hint="default"/>
      </w:rPr>
    </w:lvl>
    <w:lvl w:ilvl="4" w:tplc="166CAEFA" w:tentative="1">
      <w:start w:val="1"/>
      <w:numFmt w:val="bullet"/>
      <w:lvlText w:val="o"/>
      <w:lvlJc w:val="left"/>
      <w:pPr>
        <w:ind w:left="3600" w:hanging="360"/>
      </w:pPr>
      <w:rPr>
        <w:rFonts w:ascii="Courier New" w:hAnsi="Courier New" w:cs="Courier New" w:hint="default"/>
      </w:rPr>
    </w:lvl>
    <w:lvl w:ilvl="5" w:tplc="3B827930" w:tentative="1">
      <w:start w:val="1"/>
      <w:numFmt w:val="bullet"/>
      <w:lvlText w:val=""/>
      <w:lvlJc w:val="left"/>
      <w:pPr>
        <w:ind w:left="4320" w:hanging="360"/>
      </w:pPr>
      <w:rPr>
        <w:rFonts w:ascii="Wingdings" w:hAnsi="Wingdings" w:hint="default"/>
      </w:rPr>
    </w:lvl>
    <w:lvl w:ilvl="6" w:tplc="C07E3932" w:tentative="1">
      <w:start w:val="1"/>
      <w:numFmt w:val="bullet"/>
      <w:lvlText w:val=""/>
      <w:lvlJc w:val="left"/>
      <w:pPr>
        <w:ind w:left="5040" w:hanging="360"/>
      </w:pPr>
      <w:rPr>
        <w:rFonts w:ascii="Symbol" w:hAnsi="Symbol" w:hint="default"/>
      </w:rPr>
    </w:lvl>
    <w:lvl w:ilvl="7" w:tplc="92A67380" w:tentative="1">
      <w:start w:val="1"/>
      <w:numFmt w:val="bullet"/>
      <w:lvlText w:val="o"/>
      <w:lvlJc w:val="left"/>
      <w:pPr>
        <w:ind w:left="5760" w:hanging="360"/>
      </w:pPr>
      <w:rPr>
        <w:rFonts w:ascii="Courier New" w:hAnsi="Courier New" w:cs="Courier New" w:hint="default"/>
      </w:rPr>
    </w:lvl>
    <w:lvl w:ilvl="8" w:tplc="96B8B1BA" w:tentative="1">
      <w:start w:val="1"/>
      <w:numFmt w:val="bullet"/>
      <w:lvlText w:val=""/>
      <w:lvlJc w:val="left"/>
      <w:pPr>
        <w:ind w:left="6480" w:hanging="360"/>
      </w:pPr>
      <w:rPr>
        <w:rFonts w:ascii="Wingdings" w:hAnsi="Wingdings" w:hint="default"/>
      </w:rPr>
    </w:lvl>
  </w:abstractNum>
  <w:num w:numId="1" w16cid:durableId="872423634">
    <w:abstractNumId w:val="4"/>
  </w:num>
  <w:num w:numId="2" w16cid:durableId="392432895">
    <w:abstractNumId w:val="1"/>
  </w:num>
  <w:num w:numId="3" w16cid:durableId="2022972771">
    <w:abstractNumId w:val="3"/>
  </w:num>
  <w:num w:numId="4" w16cid:durableId="1600067542">
    <w:abstractNumId w:val="0"/>
  </w:num>
  <w:num w:numId="5" w16cid:durableId="63991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222ED"/>
    <w:rsid w:val="000412F8"/>
    <w:rsid w:val="00047980"/>
    <w:rsid w:val="00060AD1"/>
    <w:rsid w:val="00060C95"/>
    <w:rsid w:val="00061697"/>
    <w:rsid w:val="00067F08"/>
    <w:rsid w:val="00094F39"/>
    <w:rsid w:val="000F2DBF"/>
    <w:rsid w:val="000F39A4"/>
    <w:rsid w:val="00104E66"/>
    <w:rsid w:val="001135C4"/>
    <w:rsid w:val="00121AB4"/>
    <w:rsid w:val="00122C2D"/>
    <w:rsid w:val="001255B8"/>
    <w:rsid w:val="0013769E"/>
    <w:rsid w:val="001411C5"/>
    <w:rsid w:val="001429E3"/>
    <w:rsid w:val="001509DA"/>
    <w:rsid w:val="00151726"/>
    <w:rsid w:val="0015658D"/>
    <w:rsid w:val="001631C3"/>
    <w:rsid w:val="00172E51"/>
    <w:rsid w:val="001811AA"/>
    <w:rsid w:val="0019467B"/>
    <w:rsid w:val="001B34C8"/>
    <w:rsid w:val="001E630D"/>
    <w:rsid w:val="001E6474"/>
    <w:rsid w:val="001E716F"/>
    <w:rsid w:val="001F075D"/>
    <w:rsid w:val="00226730"/>
    <w:rsid w:val="002279B8"/>
    <w:rsid w:val="00236980"/>
    <w:rsid w:val="00266278"/>
    <w:rsid w:val="00280D30"/>
    <w:rsid w:val="00284DC9"/>
    <w:rsid w:val="0029452B"/>
    <w:rsid w:val="002A3886"/>
    <w:rsid w:val="002B032C"/>
    <w:rsid w:val="002C006D"/>
    <w:rsid w:val="002C262E"/>
    <w:rsid w:val="002E451A"/>
    <w:rsid w:val="002E6945"/>
    <w:rsid w:val="00320B63"/>
    <w:rsid w:val="00333401"/>
    <w:rsid w:val="00335E94"/>
    <w:rsid w:val="00337FC2"/>
    <w:rsid w:val="00350F7A"/>
    <w:rsid w:val="00364914"/>
    <w:rsid w:val="0039608A"/>
    <w:rsid w:val="003A295C"/>
    <w:rsid w:val="003A61FC"/>
    <w:rsid w:val="003B2BB8"/>
    <w:rsid w:val="003C3F5C"/>
    <w:rsid w:val="003D2C6F"/>
    <w:rsid w:val="003D34FF"/>
    <w:rsid w:val="003D76E2"/>
    <w:rsid w:val="004009B4"/>
    <w:rsid w:val="00400B4C"/>
    <w:rsid w:val="0040564E"/>
    <w:rsid w:val="00413A55"/>
    <w:rsid w:val="004477E7"/>
    <w:rsid w:val="004714BC"/>
    <w:rsid w:val="00472B9B"/>
    <w:rsid w:val="00495885"/>
    <w:rsid w:val="004B54CA"/>
    <w:rsid w:val="004C28D2"/>
    <w:rsid w:val="004C492E"/>
    <w:rsid w:val="004D504E"/>
    <w:rsid w:val="004E0157"/>
    <w:rsid w:val="004E3641"/>
    <w:rsid w:val="004E5CBF"/>
    <w:rsid w:val="004F4788"/>
    <w:rsid w:val="005015D1"/>
    <w:rsid w:val="00502BB7"/>
    <w:rsid w:val="00502F57"/>
    <w:rsid w:val="00525E2B"/>
    <w:rsid w:val="005321C1"/>
    <w:rsid w:val="00534D78"/>
    <w:rsid w:val="00550F41"/>
    <w:rsid w:val="005540F3"/>
    <w:rsid w:val="005575EA"/>
    <w:rsid w:val="005602CB"/>
    <w:rsid w:val="005840E0"/>
    <w:rsid w:val="00594677"/>
    <w:rsid w:val="005A1177"/>
    <w:rsid w:val="005B651F"/>
    <w:rsid w:val="005C3AA9"/>
    <w:rsid w:val="005D6778"/>
    <w:rsid w:val="005E0F5B"/>
    <w:rsid w:val="005E3639"/>
    <w:rsid w:val="00611DDE"/>
    <w:rsid w:val="00617AEA"/>
    <w:rsid w:val="00621FC5"/>
    <w:rsid w:val="00631B86"/>
    <w:rsid w:val="006328C3"/>
    <w:rsid w:val="00633B41"/>
    <w:rsid w:val="00637B02"/>
    <w:rsid w:val="006603BA"/>
    <w:rsid w:val="00662D57"/>
    <w:rsid w:val="00666A57"/>
    <w:rsid w:val="00683A84"/>
    <w:rsid w:val="0069477B"/>
    <w:rsid w:val="006A3A83"/>
    <w:rsid w:val="006A4CE7"/>
    <w:rsid w:val="006D125C"/>
    <w:rsid w:val="006D57D5"/>
    <w:rsid w:val="006D5F59"/>
    <w:rsid w:val="006E6891"/>
    <w:rsid w:val="006F2102"/>
    <w:rsid w:val="00706439"/>
    <w:rsid w:val="007316F5"/>
    <w:rsid w:val="007516B3"/>
    <w:rsid w:val="00766C6B"/>
    <w:rsid w:val="00770E61"/>
    <w:rsid w:val="00773FAC"/>
    <w:rsid w:val="00775B06"/>
    <w:rsid w:val="00785261"/>
    <w:rsid w:val="0079758C"/>
    <w:rsid w:val="007B0256"/>
    <w:rsid w:val="00800A17"/>
    <w:rsid w:val="0080387C"/>
    <w:rsid w:val="00810EEE"/>
    <w:rsid w:val="0083177B"/>
    <w:rsid w:val="00880424"/>
    <w:rsid w:val="008A1A9A"/>
    <w:rsid w:val="008D37E1"/>
    <w:rsid w:val="009225F0"/>
    <w:rsid w:val="00932B1B"/>
    <w:rsid w:val="0093462C"/>
    <w:rsid w:val="00937865"/>
    <w:rsid w:val="0094188C"/>
    <w:rsid w:val="009463B6"/>
    <w:rsid w:val="00953795"/>
    <w:rsid w:val="00954A54"/>
    <w:rsid w:val="009653ED"/>
    <w:rsid w:val="00965BCE"/>
    <w:rsid w:val="00974189"/>
    <w:rsid w:val="0097699B"/>
    <w:rsid w:val="00985A51"/>
    <w:rsid w:val="00996B4A"/>
    <w:rsid w:val="00996F53"/>
    <w:rsid w:val="009A0473"/>
    <w:rsid w:val="00A12D5D"/>
    <w:rsid w:val="00A15DA6"/>
    <w:rsid w:val="00A3141D"/>
    <w:rsid w:val="00A63172"/>
    <w:rsid w:val="00A815D3"/>
    <w:rsid w:val="00A839C6"/>
    <w:rsid w:val="00AB40E0"/>
    <w:rsid w:val="00AC123F"/>
    <w:rsid w:val="00AD4800"/>
    <w:rsid w:val="00AD6D4F"/>
    <w:rsid w:val="00AD7209"/>
    <w:rsid w:val="00AE1F1C"/>
    <w:rsid w:val="00AE5D73"/>
    <w:rsid w:val="00AF00AB"/>
    <w:rsid w:val="00AF60FD"/>
    <w:rsid w:val="00B04ED8"/>
    <w:rsid w:val="00B06F7C"/>
    <w:rsid w:val="00B40F3A"/>
    <w:rsid w:val="00B47525"/>
    <w:rsid w:val="00B5333B"/>
    <w:rsid w:val="00B635BA"/>
    <w:rsid w:val="00B91E3E"/>
    <w:rsid w:val="00BA2DB9"/>
    <w:rsid w:val="00BA40BB"/>
    <w:rsid w:val="00BB20E1"/>
    <w:rsid w:val="00BB5099"/>
    <w:rsid w:val="00BD0436"/>
    <w:rsid w:val="00BE09F6"/>
    <w:rsid w:val="00BE2BCF"/>
    <w:rsid w:val="00BE45EF"/>
    <w:rsid w:val="00BE7148"/>
    <w:rsid w:val="00C07232"/>
    <w:rsid w:val="00C21D2A"/>
    <w:rsid w:val="00C36421"/>
    <w:rsid w:val="00C42408"/>
    <w:rsid w:val="00C52E26"/>
    <w:rsid w:val="00C66C23"/>
    <w:rsid w:val="00C747BF"/>
    <w:rsid w:val="00C84DD7"/>
    <w:rsid w:val="00CA2006"/>
    <w:rsid w:val="00CB4003"/>
    <w:rsid w:val="00CB5863"/>
    <w:rsid w:val="00CD011F"/>
    <w:rsid w:val="00CD058E"/>
    <w:rsid w:val="00CE077F"/>
    <w:rsid w:val="00CE41A9"/>
    <w:rsid w:val="00D10AF5"/>
    <w:rsid w:val="00D112A6"/>
    <w:rsid w:val="00D43498"/>
    <w:rsid w:val="00D937A1"/>
    <w:rsid w:val="00D96339"/>
    <w:rsid w:val="00DA243A"/>
    <w:rsid w:val="00DA7122"/>
    <w:rsid w:val="00DA7B67"/>
    <w:rsid w:val="00DB7A17"/>
    <w:rsid w:val="00DC1A11"/>
    <w:rsid w:val="00DC289E"/>
    <w:rsid w:val="00DE12FB"/>
    <w:rsid w:val="00DE6CDC"/>
    <w:rsid w:val="00DF7F92"/>
    <w:rsid w:val="00E16768"/>
    <w:rsid w:val="00E2375B"/>
    <w:rsid w:val="00E23BEC"/>
    <w:rsid w:val="00E2724F"/>
    <w:rsid w:val="00E273E4"/>
    <w:rsid w:val="00E373C3"/>
    <w:rsid w:val="00E61C70"/>
    <w:rsid w:val="00E73BEA"/>
    <w:rsid w:val="00E837FF"/>
    <w:rsid w:val="00E93A20"/>
    <w:rsid w:val="00E95241"/>
    <w:rsid w:val="00EA558A"/>
    <w:rsid w:val="00EB45F1"/>
    <w:rsid w:val="00EB6AFA"/>
    <w:rsid w:val="00EC097C"/>
    <w:rsid w:val="00EC6054"/>
    <w:rsid w:val="00EE0350"/>
    <w:rsid w:val="00EE2EFD"/>
    <w:rsid w:val="00EF36CE"/>
    <w:rsid w:val="00EF5B8A"/>
    <w:rsid w:val="00F14862"/>
    <w:rsid w:val="00F30AFE"/>
    <w:rsid w:val="00F31CDB"/>
    <w:rsid w:val="00F32E0C"/>
    <w:rsid w:val="00F3375A"/>
    <w:rsid w:val="00F72AEB"/>
    <w:rsid w:val="00F73BF3"/>
    <w:rsid w:val="00F97954"/>
    <w:rsid w:val="00FA20FD"/>
    <w:rsid w:val="00FA31E0"/>
    <w:rsid w:val="00FB20BD"/>
    <w:rsid w:val="00FE2884"/>
    <w:rsid w:val="00FE748E"/>
    <w:rsid w:val="00FF532A"/>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98317"/>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10EEE"/>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 w:type="character" w:styleId="UnresolvedMention">
    <w:name w:val="Unresolved Mention"/>
    <w:basedOn w:val="DefaultParagraphFont"/>
    <w:uiPriority w:val="99"/>
    <w:rsid w:val="00BB5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EC1AF5">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61697"/>
    <w:rsid w:val="000F2DBF"/>
    <w:rsid w:val="00151726"/>
    <w:rsid w:val="00172E51"/>
    <w:rsid w:val="001B34C8"/>
    <w:rsid w:val="00226730"/>
    <w:rsid w:val="003A295C"/>
    <w:rsid w:val="003A7218"/>
    <w:rsid w:val="00493FF6"/>
    <w:rsid w:val="004A0F1B"/>
    <w:rsid w:val="004C5207"/>
    <w:rsid w:val="00502F57"/>
    <w:rsid w:val="005321C1"/>
    <w:rsid w:val="005D6778"/>
    <w:rsid w:val="0080387C"/>
    <w:rsid w:val="008D37E1"/>
    <w:rsid w:val="009859F5"/>
    <w:rsid w:val="00A40266"/>
    <w:rsid w:val="00AB40E0"/>
    <w:rsid w:val="00AC5DCD"/>
    <w:rsid w:val="00AD66C0"/>
    <w:rsid w:val="00AD7209"/>
    <w:rsid w:val="00AE5D73"/>
    <w:rsid w:val="00B8643B"/>
    <w:rsid w:val="00BA126D"/>
    <w:rsid w:val="00BF0388"/>
    <w:rsid w:val="00C07232"/>
    <w:rsid w:val="00C42408"/>
    <w:rsid w:val="00D27D61"/>
    <w:rsid w:val="00E373C3"/>
    <w:rsid w:val="00E93A20"/>
    <w:rsid w:val="00EC1AF5"/>
    <w:rsid w:val="00EE0350"/>
    <w:rsid w:val="00EE2EFD"/>
    <w:rsid w:val="00EF36CE"/>
    <w:rsid w:val="00F306B9"/>
    <w:rsid w:val="00F72AEB"/>
    <w:rsid w:val="00FA20FD"/>
    <w:rsid w:val="00FC011C"/>
    <w:rsid w:val="00FC0E1B"/>
    <w:rsid w:val="00FF5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FF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2.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3.xml><?xml version="1.0" encoding="utf-8"?>
<ds:datastoreItem xmlns:ds="http://schemas.openxmlformats.org/officeDocument/2006/customXml" ds:itemID="{E4B7D520-F7B5-425A-88C3-53E882247914}">
  <ds:schemaRefs>
    <ds:schemaRef ds:uri="http://schemas.openxmlformats.org/officeDocument/2006/bibliography"/>
  </ds:schemaRefs>
</ds:datastoreItem>
</file>

<file path=customXml/itemProps4.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Arabic | العربية</vt:lpstr>
    </vt:vector>
  </TitlesOfParts>
  <Company>Department of Social Services</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ورقة حقائق مجلس أصول بيانات الإعاقة الوطنية</dc:title>
  <dc:creator>Department of Social Services</dc:creator>
  <cp:keywords>[SEC=OFFICIAL]</cp:keywords>
  <cp:lastModifiedBy>Thom Kiorgaard</cp:lastModifiedBy>
  <cp:revision>18</cp:revision>
  <dcterms:created xsi:type="dcterms:W3CDTF">2024-12-02T02:11:00Z</dcterms:created>
  <dcterms:modified xsi:type="dcterms:W3CDTF">2024-12-04T02:21:00Z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