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B523" w14:textId="77777777" w:rsidR="00A04C0A" w:rsidRPr="000B088A" w:rsidRDefault="000F5EFF" w:rsidP="00804F20">
      <w:pPr>
        <w:pStyle w:val="Heading1"/>
        <w:bidi/>
        <w:spacing w:before="120" w:after="120" w:line="288" w:lineRule="auto"/>
        <w:rPr>
          <w:rFonts w:ascii="Dubai" w:hAnsi="Dubai" w:cs="Dubai"/>
          <w:b w:val="0"/>
          <w:bCs/>
          <w:spacing w:val="1"/>
          <w:szCs w:val="44"/>
        </w:rPr>
      </w:pPr>
      <w:r w:rsidRPr="000B088A">
        <w:rPr>
          <w:rFonts w:ascii="Dubai" w:hAnsi="Dubai" w:cs="Dubai"/>
          <w:b w:val="0"/>
          <w:bCs/>
          <w:spacing w:val="1"/>
          <w:szCs w:val="44"/>
          <w:rtl/>
          <w:lang w:val="ar"/>
        </w:rPr>
        <w:t>تقرير تنفيذ تقييم تأثير الخصوصية لعام 2023</w:t>
      </w:r>
    </w:p>
    <w:p w14:paraId="7EF3B4C3" w14:textId="486445DE" w:rsidR="00A04C0A" w:rsidRPr="000B088A" w:rsidRDefault="00F56D0C" w:rsidP="00B63E16">
      <w:pPr>
        <w:pStyle w:val="Subtitle"/>
        <w:bidi/>
        <w:spacing w:before="120" w:after="120" w:line="264" w:lineRule="auto"/>
        <w:rPr>
          <w:rFonts w:ascii="Dubai" w:hAnsi="Dubai" w:cs="Dubai"/>
          <w:b/>
          <w:bCs/>
          <w:i w:val="0"/>
          <w:iCs/>
          <w:spacing w:val="1"/>
          <w:szCs w:val="32"/>
        </w:rPr>
      </w:pPr>
      <w:r>
        <w:rPr>
          <w:rFonts w:ascii="Dubai" w:hAnsi="Dubai" w:cs="Dubai"/>
          <w:b/>
          <w:bCs/>
          <w:i w:val="0"/>
          <w:iCs/>
          <w:spacing w:val="1"/>
          <w:szCs w:val="32"/>
          <w:rtl/>
          <w:lang w:val="ar"/>
        </w:rPr>
        <w:t>أصل</w:t>
      </w:r>
      <w:r w:rsidR="000F5EFF" w:rsidRPr="000B088A">
        <w:rPr>
          <w:rFonts w:ascii="Dubai" w:hAnsi="Dubai" w:cs="Dubai"/>
          <w:b/>
          <w:bCs/>
          <w:i w:val="0"/>
          <w:iCs/>
          <w:spacing w:val="1"/>
          <w:szCs w:val="32"/>
          <w:rtl/>
          <w:lang w:val="ar"/>
        </w:rPr>
        <w:t xml:space="preserve"> بيانات الإعاقة الوطنية والبنية التحتية لتكامل البيانات الوطنية الأسترالية</w:t>
      </w:r>
    </w:p>
    <w:p w14:paraId="666A8DC1" w14:textId="2E7DC360" w:rsidR="00A04C0A" w:rsidRPr="000B088A" w:rsidRDefault="00F56D0C" w:rsidP="00B63E16">
      <w:pPr>
        <w:bidi/>
        <w:spacing w:before="120" w:after="120" w:line="264" w:lineRule="auto"/>
        <w:rPr>
          <w:rFonts w:ascii="Dubai" w:hAnsi="Dubai" w:cs="Dubai"/>
          <w:spacing w:val="1"/>
        </w:rPr>
      </w:pPr>
      <w:r>
        <w:rPr>
          <w:rFonts w:ascii="Dubai" w:hAnsi="Dubai" w:cs="Dubai" w:hint="cs"/>
          <w:spacing w:val="1"/>
          <w:rtl/>
          <w:lang w:val="ar"/>
        </w:rPr>
        <w:t>يقوم</w:t>
      </w:r>
      <w:r w:rsidRPr="000B088A">
        <w:rPr>
          <w:rFonts w:ascii="Dubai" w:hAnsi="Dubai" w:cs="Dubai"/>
          <w:spacing w:val="1"/>
          <w:rtl/>
          <w:lang w:val="ar"/>
        </w:rPr>
        <w:t xml:space="preserve"> </w:t>
      </w:r>
      <w:r>
        <w:rPr>
          <w:rFonts w:ascii="Dubai" w:hAnsi="Dubai" w:cs="Dubai"/>
          <w:spacing w:val="1"/>
          <w:rtl/>
          <w:lang w:val="ar"/>
        </w:rPr>
        <w:t>أصل</w:t>
      </w:r>
      <w:r w:rsidR="000F5EFF" w:rsidRPr="000B088A">
        <w:rPr>
          <w:rFonts w:ascii="Dubai" w:hAnsi="Dubai" w:cs="Dubai"/>
          <w:spacing w:val="1"/>
          <w:rtl/>
          <w:lang w:val="ar"/>
        </w:rPr>
        <w:t xml:space="preserve"> بيانات الإعاقة الوطنية </w:t>
      </w:r>
      <w:r>
        <w:rPr>
          <w:rFonts w:ascii="Dubai" w:hAnsi="Dubai" w:cs="Dubai" w:hint="cs"/>
          <w:spacing w:val="1"/>
          <w:rtl/>
          <w:lang w:val="ar"/>
        </w:rPr>
        <w:t>بتجميع ال</w:t>
      </w:r>
      <w:r w:rsidR="000F5EFF" w:rsidRPr="000B088A">
        <w:rPr>
          <w:rFonts w:ascii="Dubai" w:hAnsi="Dubai" w:cs="Dubai"/>
          <w:spacing w:val="1"/>
          <w:rtl/>
          <w:lang w:val="ar"/>
        </w:rPr>
        <w:t xml:space="preserve">معلومات عن جميع الأستراليين. يساعدنا هذا على فهم احتياجات الأشخاص ذوي الإعاقة وتلبيتها بشكل أفضل. </w:t>
      </w:r>
    </w:p>
    <w:p w14:paraId="20CD1B21" w14:textId="29BCF2BF" w:rsidR="00A04C0A" w:rsidRPr="000B088A" w:rsidRDefault="000F5EFF" w:rsidP="0066045E">
      <w:pPr>
        <w:bidi/>
        <w:spacing w:before="120" w:after="120" w:line="264" w:lineRule="auto"/>
        <w:ind w:right="284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>البنية التحتية لتكامل البيانات الوطنية الأسترالية هي النظام الأساسي الذي يسمح لنا بتوصيل البيانات ل</w:t>
      </w:r>
      <w:r w:rsidR="00F56D0C">
        <w:rPr>
          <w:rFonts w:ascii="Dubai" w:hAnsi="Dubai" w:cs="Dubai"/>
          <w:spacing w:val="1"/>
          <w:rtl/>
          <w:lang w:val="ar"/>
        </w:rPr>
        <w:t>أصل</w:t>
      </w:r>
      <w:r w:rsidRPr="000B088A">
        <w:rPr>
          <w:rFonts w:ascii="Dubai" w:hAnsi="Dubai" w:cs="Dubai"/>
          <w:spacing w:val="1"/>
          <w:rtl/>
          <w:lang w:val="ar"/>
        </w:rPr>
        <w:t xml:space="preserve"> بيانات الإعاقة الوطنية. </w:t>
      </w:r>
    </w:p>
    <w:p w14:paraId="779677AF" w14:textId="50B95E0E" w:rsidR="00A04C0A" w:rsidRPr="000B088A" w:rsidRDefault="000F5EFF" w:rsidP="00B63E16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تم إجراء </w:t>
      </w:r>
      <w:hyperlink r:id="rId8" w:history="1">
        <w:r w:rsidR="00A04C0A" w:rsidRPr="000B088A">
          <w:rPr>
            <w:rStyle w:val="Hyperlink"/>
            <w:rFonts w:ascii="Dubai" w:hAnsi="Dubai" w:cs="Dubai"/>
            <w:spacing w:val="1"/>
            <w:rtl/>
            <w:lang w:val="ar"/>
          </w:rPr>
          <w:t>تقييم تأثير الخصوصية</w:t>
        </w:r>
      </w:hyperlink>
      <w:r w:rsidRPr="000B088A">
        <w:rPr>
          <w:rFonts w:ascii="Dubai" w:hAnsi="Dubai" w:cs="Dubai"/>
          <w:spacing w:val="1"/>
          <w:rtl/>
          <w:lang w:val="ar"/>
        </w:rPr>
        <w:t xml:space="preserve"> (PIA) ل</w:t>
      </w:r>
      <w:r w:rsidR="00F56D0C">
        <w:rPr>
          <w:rFonts w:ascii="Dubai" w:hAnsi="Dubai" w:cs="Dubai"/>
          <w:spacing w:val="1"/>
          <w:rtl/>
          <w:lang w:val="ar"/>
        </w:rPr>
        <w:t>أصل</w:t>
      </w:r>
      <w:r w:rsidRPr="000B088A">
        <w:rPr>
          <w:rFonts w:ascii="Dubai" w:hAnsi="Dubai" w:cs="Dubai"/>
          <w:spacing w:val="1"/>
          <w:rtl/>
          <w:lang w:val="ar"/>
        </w:rPr>
        <w:t xml:space="preserve"> بيانات الإعاقة الوطنية في عام 2023. أوصى PIA بطرق لإدارة مخاطر الخصوصية أو تقليلها أو إزالتها.</w:t>
      </w:r>
    </w:p>
    <w:p w14:paraId="627A6557" w14:textId="725A22AA" w:rsidR="00A04C0A" w:rsidRPr="000B088A" w:rsidRDefault="000F5EFF" w:rsidP="0066045E">
      <w:pPr>
        <w:bidi/>
        <w:spacing w:before="120" w:after="120" w:line="264" w:lineRule="auto"/>
        <w:ind w:right="426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وتعمل وزارة الخدمات الاجتماعية (Department of Social Services) والمكتب الأسترالي للإحصاء (Australian Bureau of Statistics) والمعهد الأسترالي للصحة والعافية (Australian Institute of Health and Welfare) معًا على </w:t>
      </w:r>
      <w:r w:rsidR="00F56D0C">
        <w:rPr>
          <w:rFonts w:ascii="Dubai" w:hAnsi="Dubai" w:cs="Dubai"/>
          <w:spacing w:val="1"/>
          <w:rtl/>
          <w:lang w:val="ar"/>
        </w:rPr>
        <w:t>أصل</w:t>
      </w:r>
      <w:r w:rsidRPr="000B088A">
        <w:rPr>
          <w:rFonts w:ascii="Dubai" w:hAnsi="Dubai" w:cs="Dubai"/>
          <w:spacing w:val="1"/>
          <w:rtl/>
          <w:lang w:val="ar"/>
        </w:rPr>
        <w:t xml:space="preserve"> بيانات الإعاقة الوطنية. لقد كتبنا هذا التقرير لشرح ما فعلناه لتلبية توصيات PIA.</w:t>
      </w:r>
    </w:p>
    <w:p w14:paraId="0C8EA2AF" w14:textId="77777777" w:rsidR="00A04C0A" w:rsidRPr="000B088A" w:rsidRDefault="000F5EFF" w:rsidP="00B63E16">
      <w:pPr>
        <w:pStyle w:val="Heading2"/>
        <w:bidi/>
        <w:spacing w:before="240" w:after="120" w:line="240" w:lineRule="auto"/>
        <w:rPr>
          <w:rFonts w:ascii="Dubai" w:hAnsi="Dubai" w:cs="Dubai"/>
          <w:b w:val="0"/>
          <w:bCs/>
          <w:color w:val="224DC1"/>
          <w:spacing w:val="1"/>
          <w:szCs w:val="32"/>
        </w:rPr>
      </w:pPr>
      <w:r w:rsidRPr="000B088A">
        <w:rPr>
          <w:rFonts w:ascii="Dubai" w:hAnsi="Dubai" w:cs="Dubai"/>
          <w:b w:val="0"/>
          <w:bCs/>
          <w:color w:val="224DC1"/>
          <w:spacing w:val="1"/>
          <w:szCs w:val="32"/>
          <w:rtl/>
          <w:lang w:val="ar"/>
        </w:rPr>
        <w:t>تلبية توصيات PIA</w:t>
      </w:r>
    </w:p>
    <w:p w14:paraId="5703D283" w14:textId="77777777" w:rsidR="00A04C0A" w:rsidRPr="000B088A" w:rsidRDefault="000F5EFF" w:rsidP="00B63E16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قدمت PIA ست توصيات. </w:t>
      </w:r>
    </w:p>
    <w:p w14:paraId="48AFDB9C" w14:textId="06F0BCF6" w:rsidR="00A04C0A" w:rsidRPr="000B088A" w:rsidRDefault="000F5EFF" w:rsidP="00B63E16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لقد عملنا مع أصحاب المصلحة ومجموعات الحوكمة على كل توصية. وشمل ذلك </w:t>
      </w:r>
      <w:hyperlink r:id="rId9" w:history="1">
        <w:r w:rsidR="00A04C0A" w:rsidRPr="000B088A">
          <w:rPr>
            <w:rStyle w:val="Hyperlink"/>
            <w:rFonts w:ascii="Dubai" w:hAnsi="Dubai" w:cs="Dubai"/>
            <w:spacing w:val="1"/>
            <w:rtl/>
            <w:lang w:val="ar"/>
          </w:rPr>
          <w:t xml:space="preserve">مجلس </w:t>
        </w:r>
        <w:r w:rsidR="00F56D0C">
          <w:rPr>
            <w:rStyle w:val="Hyperlink"/>
            <w:rFonts w:ascii="Dubai" w:hAnsi="Dubai" w:cs="Dubai"/>
            <w:spacing w:val="1"/>
            <w:rtl/>
            <w:lang w:val="ar"/>
          </w:rPr>
          <w:t>أصل</w:t>
        </w:r>
        <w:r w:rsidR="00A04C0A" w:rsidRPr="000B088A">
          <w:rPr>
            <w:rStyle w:val="Hyperlink"/>
            <w:rFonts w:ascii="Dubai" w:hAnsi="Dubai" w:cs="Dubai"/>
            <w:spacing w:val="1"/>
            <w:rtl/>
            <w:lang w:val="ar"/>
          </w:rPr>
          <w:t xml:space="preserve"> بيانات الإعاقة الوطنية</w:t>
        </w:r>
      </w:hyperlink>
      <w:r w:rsidRPr="000B088A">
        <w:rPr>
          <w:rFonts w:ascii="Dubai" w:hAnsi="Dubai" w:cs="Dubai"/>
          <w:spacing w:val="1"/>
          <w:rtl/>
          <w:lang w:val="ar"/>
        </w:rPr>
        <w:t xml:space="preserve"> (المجلس) ومجلس البنية التحتية لتكامل البيانات الوطنية الأسترالية (المجلس).</w:t>
      </w:r>
    </w:p>
    <w:p w14:paraId="1D88B85B" w14:textId="77777777" w:rsidR="007513A8" w:rsidRPr="000B088A" w:rsidRDefault="000F5EFF" w:rsidP="007513A8">
      <w:pPr>
        <w:bidi/>
        <w:spacing w:before="120" w:after="120" w:line="264" w:lineRule="auto"/>
        <w:rPr>
          <w:rFonts w:ascii="Dubai" w:hAnsi="Dubai" w:cs="Dubai"/>
          <w:spacing w:val="8"/>
        </w:rPr>
      </w:pPr>
      <w:r w:rsidRPr="000B088A">
        <w:rPr>
          <w:rFonts w:ascii="Dubai" w:hAnsi="Dubai" w:cs="Dubai"/>
          <w:rtl/>
          <w:lang w:val="ar"/>
        </w:rPr>
        <w:t xml:space="preserve">خمس من التوصيات الست مكتملة الآن. وقد أوشكت التوصية 1 على الانتهاء. </w:t>
      </w:r>
    </w:p>
    <w:p w14:paraId="211535E1" w14:textId="5C8DDDBE" w:rsidR="007513A8" w:rsidRPr="000B088A" w:rsidRDefault="000F5EFF" w:rsidP="007513A8">
      <w:pPr>
        <w:pStyle w:val="Heading3"/>
        <w:bidi/>
        <w:spacing w:before="160" w:after="80" w:line="264" w:lineRule="auto"/>
        <w:rPr>
          <w:rFonts w:ascii="Dubai" w:hAnsi="Dubai" w:cs="Dubai"/>
          <w:b/>
          <w:bCs/>
          <w:spacing w:val="8"/>
        </w:rPr>
      </w:pPr>
      <w:r w:rsidRPr="000B088A">
        <w:rPr>
          <w:rFonts w:ascii="Dubai" w:hAnsi="Dubai" w:cs="Dubai"/>
          <w:b/>
          <w:bCs/>
          <w:spacing w:val="8"/>
          <w:rtl/>
          <w:lang w:val="ar"/>
        </w:rPr>
        <w:t xml:space="preserve">التوصية 1: مبادئ لإضافة مجموعات بيانات إلى </w:t>
      </w:r>
      <w:r w:rsidR="00F56D0C">
        <w:rPr>
          <w:rFonts w:ascii="Dubai" w:hAnsi="Dubai" w:cs="Dubai"/>
          <w:b/>
          <w:bCs/>
          <w:rtl/>
          <w:lang w:val="ar"/>
        </w:rPr>
        <w:t>أصل</w:t>
      </w:r>
      <w:r w:rsidRPr="000B088A">
        <w:rPr>
          <w:rFonts w:ascii="Dubai" w:hAnsi="Dubai" w:cs="Dubai"/>
          <w:b/>
          <w:bCs/>
          <w:rtl/>
          <w:lang w:val="ar"/>
        </w:rPr>
        <w:t xml:space="preserve"> بيانات الإعاقة الوطنية</w:t>
      </w:r>
      <w:r w:rsidRPr="000B088A">
        <w:rPr>
          <w:rFonts w:ascii="Dubai" w:hAnsi="Dubai" w:cs="Dubai"/>
          <w:b/>
          <w:bCs/>
          <w:spacing w:val="8"/>
          <w:rtl/>
          <w:lang w:val="ar"/>
        </w:rPr>
        <w:t xml:space="preserve"> في المستقبل </w:t>
      </w:r>
    </w:p>
    <w:p w14:paraId="45C0C2C4" w14:textId="49809A97" w:rsidR="007513A8" w:rsidRPr="000B088A" w:rsidRDefault="000F5EFF" w:rsidP="007513A8">
      <w:pPr>
        <w:bidi/>
        <w:spacing w:before="120" w:after="120" w:line="264" w:lineRule="auto"/>
        <w:rPr>
          <w:rFonts w:ascii="Dubai" w:hAnsi="Dubai" w:cs="Dubai"/>
          <w:spacing w:val="8"/>
        </w:rPr>
      </w:pPr>
      <w:r w:rsidRPr="000B088A">
        <w:rPr>
          <w:rFonts w:ascii="Dubai" w:hAnsi="Dubai" w:cs="Dubai"/>
          <w:rtl/>
          <w:lang w:val="ar"/>
        </w:rPr>
        <w:t xml:space="preserve">ويقوم المجلس بوضع اللمسات الأخيرة على مجموعة من المبادئ. ستوجه المبادئ القرارات المتعلقة بما إذا كان ينبغي أو لا ينبغي تضمين مجموعات البيانات في </w:t>
      </w:r>
      <w:r w:rsidR="00F56D0C">
        <w:rPr>
          <w:rFonts w:ascii="Dubai" w:hAnsi="Dubai" w:cs="Dubai"/>
          <w:rtl/>
          <w:lang w:val="ar"/>
        </w:rPr>
        <w:t>أصل</w:t>
      </w:r>
      <w:r w:rsidRPr="000B088A">
        <w:rPr>
          <w:rFonts w:ascii="Dubai" w:hAnsi="Dubai" w:cs="Dubai"/>
          <w:rtl/>
          <w:lang w:val="ar"/>
        </w:rPr>
        <w:t xml:space="preserve"> بيانات الإعاقة الوطنية. </w:t>
      </w:r>
    </w:p>
    <w:p w14:paraId="0EFCC4BB" w14:textId="47170E41" w:rsidR="007513A8" w:rsidRPr="000B088A" w:rsidRDefault="000F5EFF" w:rsidP="007513A8">
      <w:pPr>
        <w:bidi/>
        <w:spacing w:before="120" w:after="120" w:line="264" w:lineRule="auto"/>
        <w:rPr>
          <w:rFonts w:ascii="Dubai" w:hAnsi="Dubai" w:cs="Dubai"/>
          <w:spacing w:val="8"/>
        </w:rPr>
      </w:pPr>
      <w:r w:rsidRPr="000B088A">
        <w:rPr>
          <w:rFonts w:ascii="Dubai" w:hAnsi="Dubai" w:cs="Dubai"/>
          <w:rtl/>
          <w:lang w:val="ar"/>
        </w:rPr>
        <w:t xml:space="preserve">ستعمل المبادئ جنبًا إلى جنب مع </w:t>
      </w:r>
      <w:hyperlink r:id="rId10" w:history="1">
        <w:r w:rsidR="007513A8" w:rsidRPr="000B088A">
          <w:rPr>
            <w:rStyle w:val="Hyperlink"/>
            <w:rFonts w:ascii="Dubai" w:hAnsi="Dubai" w:cs="Dubai"/>
            <w:rtl/>
            <w:lang w:val="ar"/>
          </w:rPr>
          <w:t>الميثاق الوطني ل</w:t>
        </w:r>
        <w:r w:rsidR="00F56D0C">
          <w:rPr>
            <w:rStyle w:val="Hyperlink"/>
            <w:rFonts w:ascii="Dubai" w:hAnsi="Dubai" w:cs="Dubai"/>
            <w:rtl/>
            <w:lang w:val="ar"/>
          </w:rPr>
          <w:t>أصل</w:t>
        </w:r>
        <w:r w:rsidR="007513A8" w:rsidRPr="000B088A">
          <w:rPr>
            <w:rStyle w:val="Hyperlink"/>
            <w:rFonts w:ascii="Dubai" w:hAnsi="Dubai" w:cs="Dubai"/>
            <w:rtl/>
            <w:lang w:val="ar"/>
          </w:rPr>
          <w:t xml:space="preserve"> بيانات الإعاقة</w:t>
        </w:r>
      </w:hyperlink>
      <w:r w:rsidRPr="000B088A">
        <w:rPr>
          <w:rFonts w:ascii="Dubai" w:hAnsi="Dubai" w:cs="Dubai"/>
          <w:rtl/>
          <w:lang w:val="ar"/>
        </w:rPr>
        <w:t xml:space="preserve"> (الميثاق). يشرح الميثاق ما يجب وما لا يجب استخدام </w:t>
      </w:r>
      <w:r w:rsidR="00F56D0C">
        <w:rPr>
          <w:rFonts w:ascii="Dubai" w:hAnsi="Dubai" w:cs="Dubai"/>
          <w:rtl/>
          <w:lang w:val="ar"/>
        </w:rPr>
        <w:t>أصل</w:t>
      </w:r>
      <w:r w:rsidRPr="000B088A">
        <w:rPr>
          <w:rFonts w:ascii="Dubai" w:hAnsi="Dubai" w:cs="Dubai"/>
          <w:rtl/>
          <w:lang w:val="ar"/>
        </w:rPr>
        <w:t xml:space="preserve"> بيانات الإعاقة الوطنية من أجله. يحتوي على مبادئ وقواعد.</w:t>
      </w:r>
    </w:p>
    <w:p w14:paraId="1213E026" w14:textId="5A8A9B78" w:rsidR="007513A8" w:rsidRPr="000B088A" w:rsidRDefault="000F5EFF" w:rsidP="007513A8">
      <w:pPr>
        <w:bidi/>
        <w:spacing w:before="120" w:after="120" w:line="264" w:lineRule="auto"/>
        <w:rPr>
          <w:rFonts w:ascii="Dubai" w:hAnsi="Dubai" w:cs="Dubai"/>
          <w:spacing w:val="8"/>
        </w:rPr>
      </w:pPr>
      <w:r w:rsidRPr="000B088A">
        <w:rPr>
          <w:rFonts w:ascii="Dubai" w:hAnsi="Dubai" w:cs="Dubai"/>
          <w:rtl/>
          <w:lang w:val="ar"/>
        </w:rPr>
        <w:t xml:space="preserve">بمجرد انتهاء المجلس من العمل على مبادئ إضافة مجموعات البيانات، سنشاركها على موقع </w:t>
      </w:r>
      <w:r w:rsidR="00F56D0C">
        <w:rPr>
          <w:rFonts w:ascii="Dubai" w:hAnsi="Dubai" w:cs="Dubai"/>
          <w:rtl/>
          <w:lang w:val="ar"/>
        </w:rPr>
        <w:t>أصل</w:t>
      </w:r>
      <w:r w:rsidRPr="000B088A">
        <w:rPr>
          <w:rFonts w:ascii="Dubai" w:hAnsi="Dubai" w:cs="Dubai"/>
          <w:rtl/>
          <w:lang w:val="ar"/>
        </w:rPr>
        <w:t xml:space="preserve"> بيانات الإعاقة الوطنية. سنقوم بذلك في النصف الأول من عام 2025.</w:t>
      </w:r>
    </w:p>
    <w:p w14:paraId="1F8ADDB6" w14:textId="77777777" w:rsidR="00A04C0A" w:rsidRPr="000B088A" w:rsidRDefault="000F5EFF" w:rsidP="00B63E16">
      <w:pPr>
        <w:pStyle w:val="Heading3"/>
        <w:bidi/>
        <w:spacing w:before="160" w:after="80" w:line="264" w:lineRule="auto"/>
        <w:rPr>
          <w:rFonts w:ascii="Dubai" w:hAnsi="Dubai" w:cs="Dubai"/>
          <w:b/>
          <w:bCs/>
          <w:spacing w:val="1"/>
          <w:szCs w:val="28"/>
        </w:rPr>
      </w:pPr>
      <w:r w:rsidRPr="000B088A">
        <w:rPr>
          <w:rFonts w:ascii="Dubai" w:hAnsi="Dubai" w:cs="Dubai"/>
          <w:b/>
          <w:bCs/>
          <w:spacing w:val="1"/>
          <w:szCs w:val="28"/>
          <w:rtl/>
          <w:lang w:val="ar"/>
        </w:rPr>
        <w:lastRenderedPageBreak/>
        <w:t xml:space="preserve">التوصية 2: إشعارات التحصيل لمقدمي البيانات </w:t>
      </w:r>
    </w:p>
    <w:p w14:paraId="2D6842AB" w14:textId="1A4E1B32" w:rsidR="00A04C0A" w:rsidRPr="000B088A" w:rsidRDefault="000F5EFF" w:rsidP="00B63E16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>مقدمو البيانات هم وكالات حكومية توفر البيانات ل</w:t>
      </w:r>
      <w:r w:rsidR="00F56D0C">
        <w:rPr>
          <w:rFonts w:ascii="Dubai" w:hAnsi="Dubai" w:cs="Dubai"/>
          <w:spacing w:val="1"/>
          <w:rtl/>
          <w:lang w:val="ar"/>
        </w:rPr>
        <w:t>أصل</w:t>
      </w:r>
      <w:r w:rsidRPr="000B088A">
        <w:rPr>
          <w:rFonts w:ascii="Dubai" w:hAnsi="Dubai" w:cs="Dubai"/>
          <w:spacing w:val="1"/>
          <w:rtl/>
          <w:lang w:val="ar"/>
        </w:rPr>
        <w:t xml:space="preserve"> بيانات الإعاقة الوطنية ونظامها الأساسي. لقد كتبنا بعض الكلمات التي يمكن لمقدمي البيانات استخدامها في إشعارات التجميع الخاصة بهم حول </w:t>
      </w:r>
      <w:r w:rsidR="00F56D0C">
        <w:rPr>
          <w:rFonts w:ascii="Dubai" w:hAnsi="Dubai" w:cs="Dubai"/>
          <w:spacing w:val="1"/>
          <w:rtl/>
          <w:lang w:val="ar"/>
        </w:rPr>
        <w:t>أصل</w:t>
      </w:r>
      <w:r w:rsidRPr="000B088A">
        <w:rPr>
          <w:rFonts w:ascii="Dubai" w:hAnsi="Dubai" w:cs="Dubai"/>
          <w:spacing w:val="1"/>
          <w:rtl/>
          <w:lang w:val="ar"/>
        </w:rPr>
        <w:t xml:space="preserve"> بيانات الإعاقة الوطنية. يقدم مقدمو البيانات هذه الإشعارات للأشخاص عندما يطلبون معلومات شخصية.</w:t>
      </w:r>
    </w:p>
    <w:p w14:paraId="13D272C4" w14:textId="41760E34" w:rsidR="00A04C0A" w:rsidRPr="000B088A" w:rsidRDefault="000F5EFF" w:rsidP="00B63E16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قدمنا الكلمات المقترحة لمقدمي البيانات في أواخر عام 2024. يمكنهم تحديث الكلمات أو إضافتها إلى إشعاراتهم بمرور الوقت. تتضمن الكلمات رابطًا </w:t>
      </w:r>
      <w:hyperlink r:id="rId11" w:history="1">
        <w:r w:rsidR="00A04C0A" w:rsidRPr="000B088A">
          <w:rPr>
            <w:rStyle w:val="Hyperlink"/>
            <w:rFonts w:ascii="Dubai" w:hAnsi="Dubai" w:cs="Dubai"/>
            <w:spacing w:val="1"/>
            <w:rtl/>
            <w:lang w:val="ar"/>
          </w:rPr>
          <w:t>لبيان الخصوصية</w:t>
        </w:r>
      </w:hyperlink>
      <w:r w:rsidRPr="000B088A">
        <w:rPr>
          <w:rFonts w:ascii="Dubai" w:hAnsi="Dubai" w:cs="Dubai"/>
          <w:spacing w:val="1"/>
          <w:rtl/>
          <w:lang w:val="ar"/>
        </w:rPr>
        <w:t xml:space="preserve"> الكامل على موقع </w:t>
      </w:r>
      <w:r w:rsidR="00F56D0C">
        <w:rPr>
          <w:rFonts w:ascii="Dubai" w:hAnsi="Dubai" w:cs="Dubai"/>
          <w:spacing w:val="1"/>
          <w:rtl/>
          <w:lang w:val="ar"/>
        </w:rPr>
        <w:t>أصل</w:t>
      </w:r>
      <w:r w:rsidRPr="000B088A">
        <w:rPr>
          <w:rFonts w:ascii="Dubai" w:hAnsi="Dubai" w:cs="Dubai"/>
          <w:spacing w:val="1"/>
          <w:rtl/>
          <w:lang w:val="ar"/>
        </w:rPr>
        <w:t xml:space="preserve"> بيانات الإعاقة الوطنية الإلكتروني. </w:t>
      </w:r>
    </w:p>
    <w:p w14:paraId="0B89781D" w14:textId="77777777" w:rsidR="00A04C0A" w:rsidRPr="000B088A" w:rsidRDefault="000F5EFF" w:rsidP="00B63E16">
      <w:pPr>
        <w:pStyle w:val="Heading3"/>
        <w:bidi/>
        <w:spacing w:before="160" w:after="80" w:line="264" w:lineRule="auto"/>
        <w:rPr>
          <w:rFonts w:ascii="Dubai" w:hAnsi="Dubai" w:cs="Dubai"/>
          <w:b/>
          <w:bCs/>
          <w:spacing w:val="1"/>
          <w:szCs w:val="28"/>
        </w:rPr>
      </w:pPr>
      <w:r w:rsidRPr="000B088A">
        <w:rPr>
          <w:rFonts w:ascii="Dubai" w:hAnsi="Dubai" w:cs="Dubai"/>
          <w:b/>
          <w:bCs/>
          <w:spacing w:val="1"/>
          <w:szCs w:val="28"/>
          <w:rtl/>
          <w:lang w:val="ar"/>
        </w:rPr>
        <w:t xml:space="preserve">التوصية 3: إدارة مخاطر إعادة تحديد هوية البيانات - مراجعة العمليات </w:t>
      </w:r>
    </w:p>
    <w:p w14:paraId="33D198C6" w14:textId="690BADD7" w:rsidR="00A04C0A" w:rsidRPr="000B088A" w:rsidRDefault="000F5EFF" w:rsidP="00B63E16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قمنا بتطوير استراتيجية لحماية هوية الأشخاص الذين توجد بياناتهم في </w:t>
      </w:r>
      <w:r w:rsidR="00F56D0C">
        <w:rPr>
          <w:rFonts w:ascii="Dubai" w:hAnsi="Dubai" w:cs="Dubai"/>
          <w:spacing w:val="1"/>
          <w:rtl/>
          <w:lang w:val="ar"/>
        </w:rPr>
        <w:t>أصل</w:t>
      </w:r>
      <w:r w:rsidRPr="000B088A">
        <w:rPr>
          <w:rFonts w:ascii="Dubai" w:hAnsi="Dubai" w:cs="Dubai"/>
          <w:spacing w:val="1"/>
          <w:rtl/>
          <w:lang w:val="ar"/>
        </w:rPr>
        <w:t xml:space="preserve"> بيانات الإعاقة الوطنية. سنراجع الاستراتيجية: </w:t>
      </w:r>
    </w:p>
    <w:p w14:paraId="0ADEAC2A" w14:textId="77777777" w:rsidR="00A04C0A" w:rsidRPr="000B088A" w:rsidRDefault="000F5EFF" w:rsidP="00B63E16">
      <w:pPr>
        <w:pStyle w:val="ListParagraph"/>
        <w:numPr>
          <w:ilvl w:val="0"/>
          <w:numId w:val="3"/>
        </w:numPr>
        <w:bidi/>
        <w:spacing w:before="120" w:after="120" w:line="312" w:lineRule="auto"/>
        <w:ind w:left="714" w:hanging="357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مرة واحدة على الأقل في السنة </w:t>
      </w:r>
    </w:p>
    <w:p w14:paraId="1B7F7EA2" w14:textId="77777777" w:rsidR="00A04C0A" w:rsidRPr="000B088A" w:rsidRDefault="000F5EFF" w:rsidP="00B63E16">
      <w:pPr>
        <w:pStyle w:val="ListParagraph"/>
        <w:numPr>
          <w:ilvl w:val="0"/>
          <w:numId w:val="4"/>
        </w:numPr>
        <w:bidi/>
        <w:spacing w:before="120" w:after="120" w:line="264" w:lineRule="auto"/>
        <w:ind w:left="714" w:hanging="357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إذا وجدنا أي مخاطر كبيرة جديدة أو متغيرة. </w:t>
      </w:r>
    </w:p>
    <w:p w14:paraId="0529C93F" w14:textId="77777777" w:rsidR="00A04C0A" w:rsidRPr="000B088A" w:rsidRDefault="000F5EFF" w:rsidP="00B63E16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>سيضمن ذلك استمرارنا في استخدام أفضل الممارسات عند حجب هوية البيانات وإدارة مخاطر إعادة تحديد الهوية. ستنظر المراجعة في التكنولوجيا والمخاطر عند تغيرها في المستقبل.</w:t>
      </w:r>
    </w:p>
    <w:p w14:paraId="2F1A38CD" w14:textId="31C8E3A9" w:rsidR="00A04C0A" w:rsidRPr="000B088A" w:rsidRDefault="000F5EFF" w:rsidP="00B63E16">
      <w:pPr>
        <w:bidi/>
        <w:spacing w:before="160" w:after="8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>سنكمل المراجعة الأولى بحلول يوليو/</w:t>
      </w:r>
      <w:r w:rsidR="009514DE">
        <w:rPr>
          <w:rFonts w:ascii="Dubai" w:hAnsi="Dubai" w:cs="Dubai" w:hint="cs"/>
          <w:spacing w:val="1"/>
          <w:rtl/>
          <w:lang w:val="ar"/>
        </w:rPr>
        <w:t>تموز</w:t>
      </w:r>
      <w:r w:rsidR="009514DE" w:rsidRPr="000B088A">
        <w:rPr>
          <w:rFonts w:ascii="Dubai" w:hAnsi="Dubai" w:cs="Dubai"/>
          <w:spacing w:val="1"/>
          <w:rtl/>
          <w:lang w:val="ar"/>
        </w:rPr>
        <w:t xml:space="preserve"> </w:t>
      </w:r>
      <w:r w:rsidRPr="000B088A">
        <w:rPr>
          <w:rFonts w:ascii="Dubai" w:hAnsi="Dubai" w:cs="Dubai"/>
          <w:spacing w:val="1"/>
          <w:rtl/>
          <w:lang w:val="ar"/>
        </w:rPr>
        <w:t xml:space="preserve">2025. </w:t>
      </w:r>
    </w:p>
    <w:p w14:paraId="1C01CBD2" w14:textId="77777777" w:rsidR="00A04C0A" w:rsidRPr="000B088A" w:rsidRDefault="000F5EFF" w:rsidP="00B63E16">
      <w:pPr>
        <w:pStyle w:val="Heading3"/>
        <w:bidi/>
        <w:spacing w:before="160" w:after="80" w:line="264" w:lineRule="auto"/>
        <w:rPr>
          <w:rFonts w:ascii="Dubai" w:hAnsi="Dubai" w:cs="Dubai"/>
          <w:b/>
          <w:bCs/>
          <w:spacing w:val="1"/>
          <w:szCs w:val="28"/>
        </w:rPr>
      </w:pPr>
      <w:r w:rsidRPr="000B088A">
        <w:rPr>
          <w:rFonts w:ascii="Dubai" w:hAnsi="Dubai" w:cs="Dubai"/>
          <w:b/>
          <w:bCs/>
          <w:spacing w:val="1"/>
          <w:szCs w:val="28"/>
          <w:rtl/>
          <w:lang w:val="ar"/>
        </w:rPr>
        <w:t xml:space="preserve">التوصية 4: إدارة مخاطر إعادة تحديد هوية البيانات - قواعد ما تتم مشاركته </w:t>
      </w:r>
    </w:p>
    <w:p w14:paraId="0BF4E560" w14:textId="77777777" w:rsidR="00A04C0A" w:rsidRPr="000B088A" w:rsidRDefault="000F5EFF" w:rsidP="00B63E16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>في أبريل/نيسان 2024، قمنا بتطوير:</w:t>
      </w:r>
    </w:p>
    <w:p w14:paraId="4D103C30" w14:textId="0018FFDB" w:rsidR="00A04C0A" w:rsidRPr="000B088A" w:rsidRDefault="000F5EFF" w:rsidP="004F5D89">
      <w:pPr>
        <w:pStyle w:val="ListParagraph"/>
        <w:numPr>
          <w:ilvl w:val="0"/>
          <w:numId w:val="5"/>
        </w:num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استراتيجية لحماية هوية الأشخاص الذين توجد بياناتهم في </w:t>
      </w:r>
      <w:r w:rsidR="00F56D0C">
        <w:rPr>
          <w:rFonts w:ascii="Dubai" w:hAnsi="Dubai" w:cs="Dubai"/>
          <w:spacing w:val="1"/>
          <w:rtl/>
          <w:lang w:val="ar"/>
        </w:rPr>
        <w:t>أصل</w:t>
      </w:r>
      <w:r w:rsidRPr="000B088A">
        <w:rPr>
          <w:rFonts w:ascii="Dubai" w:hAnsi="Dubai" w:cs="Dubai"/>
          <w:spacing w:val="1"/>
          <w:rtl/>
          <w:lang w:val="ar"/>
        </w:rPr>
        <w:t xml:space="preserve"> بيانات الإعاقة الوطنية </w:t>
      </w:r>
    </w:p>
    <w:p w14:paraId="02E1CCA4" w14:textId="77777777" w:rsidR="00A04C0A" w:rsidRPr="000B088A" w:rsidRDefault="000F5EFF" w:rsidP="00B63E16">
      <w:pPr>
        <w:pStyle w:val="ListParagraph"/>
        <w:numPr>
          <w:ilvl w:val="0"/>
          <w:numId w:val="4"/>
        </w:numPr>
        <w:bidi/>
        <w:spacing w:before="120" w:after="120" w:line="264" w:lineRule="auto"/>
        <w:ind w:left="357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>بروتوكول الوصول إلى البيانات واستخدامها وإصدارها.</w:t>
      </w:r>
    </w:p>
    <w:p w14:paraId="2B7462D5" w14:textId="5A1C1381" w:rsidR="00A04C0A" w:rsidRPr="000B088A" w:rsidRDefault="000F5EFF" w:rsidP="00B63E16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البروتوكول عبارة عن مجموعة من القواعد للحفاظ على أمان البيانات في </w:t>
      </w:r>
      <w:r w:rsidR="00F56D0C">
        <w:rPr>
          <w:rFonts w:ascii="Dubai" w:hAnsi="Dubai" w:cs="Dubai"/>
          <w:spacing w:val="1"/>
          <w:rtl/>
          <w:lang w:val="ar"/>
        </w:rPr>
        <w:t>أصل</w:t>
      </w:r>
      <w:r w:rsidRPr="000B088A">
        <w:rPr>
          <w:rFonts w:ascii="Dubai" w:hAnsi="Dubai" w:cs="Dubai"/>
          <w:spacing w:val="1"/>
          <w:rtl/>
          <w:lang w:val="ar"/>
        </w:rPr>
        <w:t xml:space="preserve"> بيانات الإعاقة الوطنية ونظامها الأساسي. يتضمن التحقق من أن نتائج تحليل البيانات قد تم حجب الهوية بها بشكل صحيح قبل أن تخرج من النظام الأساسي.</w:t>
      </w:r>
    </w:p>
    <w:p w14:paraId="2B004226" w14:textId="77777777" w:rsidR="00A04C0A" w:rsidRPr="000B088A" w:rsidRDefault="000F5EFF" w:rsidP="000C5552">
      <w:pPr>
        <w:pStyle w:val="Heading3"/>
        <w:bidi/>
        <w:rPr>
          <w:rFonts w:ascii="Dubai" w:hAnsi="Dubai" w:cs="Dubai"/>
          <w:b/>
          <w:bCs/>
          <w:spacing w:val="1"/>
          <w:szCs w:val="28"/>
        </w:rPr>
      </w:pPr>
      <w:r w:rsidRPr="000B088A">
        <w:rPr>
          <w:rFonts w:ascii="Dubai" w:hAnsi="Dubai" w:cs="Dubai"/>
          <w:b/>
          <w:bCs/>
          <w:spacing w:val="1"/>
          <w:szCs w:val="28"/>
          <w:rtl/>
          <w:lang w:val="ar"/>
        </w:rPr>
        <w:lastRenderedPageBreak/>
        <w:t xml:space="preserve">التوصية 5: إدارة الانتهاكات المتعلقة بالبيانات </w:t>
      </w:r>
    </w:p>
    <w:p w14:paraId="43F68232" w14:textId="77777777" w:rsidR="00A04C0A" w:rsidRPr="000B088A" w:rsidRDefault="000F5EFF" w:rsidP="000C5552">
      <w:pPr>
        <w:keepNext/>
        <w:keepLines/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قمنا بتطوير خطة للاستجابة للحوادث وانتهاكات البيانات في أبريل/نيسان 2024. </w:t>
      </w:r>
    </w:p>
    <w:p w14:paraId="62EDA28F" w14:textId="77777777" w:rsidR="00A04C0A" w:rsidRPr="000B088A" w:rsidRDefault="000F5EFF" w:rsidP="000C5552">
      <w:pPr>
        <w:keepNext/>
        <w:keepLines/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وتشرح: </w:t>
      </w:r>
    </w:p>
    <w:p w14:paraId="51824574" w14:textId="77777777" w:rsidR="00A04C0A" w:rsidRPr="000B088A" w:rsidRDefault="000F5EFF" w:rsidP="000C5552">
      <w:pPr>
        <w:pStyle w:val="ListParagraph"/>
        <w:keepNext/>
        <w:keepLines/>
        <w:numPr>
          <w:ilvl w:val="0"/>
          <w:numId w:val="5"/>
        </w:num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نهج للتعامل مع انتهاكات البيانات والحوادث في النظام الأساسي </w:t>
      </w:r>
    </w:p>
    <w:p w14:paraId="0DAF5680" w14:textId="77777777" w:rsidR="00A04C0A" w:rsidRPr="000B088A" w:rsidRDefault="000F5EFF" w:rsidP="000C5552">
      <w:pPr>
        <w:pStyle w:val="ListParagraph"/>
        <w:keepNext/>
        <w:keepLines/>
        <w:numPr>
          <w:ilvl w:val="0"/>
          <w:numId w:val="6"/>
        </w:num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>ما يجب أن تفعله كل مجموعة حوكمة أو منظمة ذات صلة متورطة في انتهاكات البيانات</w:t>
      </w:r>
    </w:p>
    <w:p w14:paraId="1A961A6F" w14:textId="2B1E1479" w:rsidR="00A04C0A" w:rsidRPr="000B088A" w:rsidRDefault="000F5EFF" w:rsidP="00B63E16">
      <w:pPr>
        <w:pStyle w:val="ListParagraph"/>
        <w:numPr>
          <w:ilvl w:val="0"/>
          <w:numId w:val="7"/>
        </w:num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>من نحتاج إلى إخطاره بأي انتهاك</w:t>
      </w:r>
      <w:r w:rsidR="008540A6">
        <w:rPr>
          <w:rFonts w:ascii="Dubai" w:hAnsi="Dubai" w:cs="Dubai" w:hint="cs"/>
          <w:spacing w:val="1"/>
          <w:rtl/>
          <w:lang w:val="en-US" w:bidi="ar-EG"/>
        </w:rPr>
        <w:t xml:space="preserve"> بيانات</w:t>
      </w:r>
      <w:r w:rsidRPr="000B088A">
        <w:rPr>
          <w:rFonts w:ascii="Dubai" w:hAnsi="Dubai" w:cs="Dubai"/>
          <w:spacing w:val="1"/>
          <w:rtl/>
          <w:lang w:val="ar"/>
        </w:rPr>
        <w:t>.</w:t>
      </w:r>
    </w:p>
    <w:p w14:paraId="0B80D511" w14:textId="77777777" w:rsidR="00A04C0A" w:rsidRPr="000B088A" w:rsidRDefault="000F5EFF" w:rsidP="00B63E16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>أجرينا تمرينًا في أكتوبر/تشرين الأول 2024 لمعرفة ما إذا كان بإمكاننا إيجاد طرق أفضل للرد على الانتهاكات. ساعدنا ذلك في تحسين عملياتنا وخطة الاستجابة للحوادث وانتهاكات البيانات.</w:t>
      </w:r>
    </w:p>
    <w:p w14:paraId="687A9E40" w14:textId="77777777" w:rsidR="00A04C0A" w:rsidRPr="000B088A" w:rsidRDefault="000F5EFF" w:rsidP="00B63E16">
      <w:pPr>
        <w:pStyle w:val="Heading3"/>
        <w:bidi/>
        <w:spacing w:before="160" w:after="80" w:line="264" w:lineRule="auto"/>
        <w:rPr>
          <w:rFonts w:ascii="Dubai" w:hAnsi="Dubai" w:cs="Dubai"/>
          <w:b/>
          <w:bCs/>
          <w:spacing w:val="1"/>
        </w:rPr>
      </w:pPr>
      <w:r w:rsidRPr="000B088A">
        <w:rPr>
          <w:rFonts w:ascii="Dubai" w:hAnsi="Dubai" w:cs="Dubai"/>
          <w:b/>
          <w:bCs/>
          <w:spacing w:val="1"/>
          <w:rtl/>
          <w:lang w:val="ar"/>
        </w:rPr>
        <w:t xml:space="preserve">التوصية 6: وضع إطار عمل للامتثال </w:t>
      </w:r>
    </w:p>
    <w:p w14:paraId="4315FC7A" w14:textId="02251662" w:rsidR="00A04C0A" w:rsidRPr="000B088A" w:rsidRDefault="000F5EFF" w:rsidP="00B27F02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>في ديسمبر/كانون الأول 2024، قمنا بتطوير إطار عمل للامتثال ل</w:t>
      </w:r>
      <w:r w:rsidR="00F56D0C">
        <w:rPr>
          <w:rFonts w:ascii="Dubai" w:hAnsi="Dubai" w:cs="Dubai"/>
          <w:spacing w:val="1"/>
          <w:rtl/>
          <w:lang w:val="ar"/>
        </w:rPr>
        <w:t>أصل</w:t>
      </w:r>
      <w:r w:rsidRPr="000B088A">
        <w:rPr>
          <w:rFonts w:ascii="Dubai" w:hAnsi="Dubai" w:cs="Dubai"/>
          <w:spacing w:val="1"/>
          <w:rtl/>
          <w:lang w:val="ar"/>
        </w:rPr>
        <w:t xml:space="preserve"> بيانات الإعاقة الوطنية ونظامها الأساسي. سيساعد هذا الإطار في تقييم ما إذا كان الجميع يتبعون اتفاقيات مشاركة البيانات والإبلاغ عنها. </w:t>
      </w:r>
    </w:p>
    <w:p w14:paraId="3D83BE7F" w14:textId="77777777" w:rsidR="00A04C0A" w:rsidRPr="000B088A" w:rsidRDefault="000F5EFF" w:rsidP="00B63E16">
      <w:pPr>
        <w:pStyle w:val="Heading2"/>
        <w:bidi/>
        <w:spacing w:before="240" w:after="120" w:line="264" w:lineRule="auto"/>
        <w:rPr>
          <w:rFonts w:ascii="Dubai" w:hAnsi="Dubai" w:cs="Dubai"/>
          <w:b w:val="0"/>
          <w:bCs/>
          <w:color w:val="224DC1"/>
          <w:spacing w:val="1"/>
          <w:szCs w:val="32"/>
        </w:rPr>
      </w:pPr>
      <w:r w:rsidRPr="000B088A">
        <w:rPr>
          <w:rFonts w:ascii="Dubai" w:hAnsi="Dubai" w:cs="Dubai"/>
          <w:b w:val="0"/>
          <w:bCs/>
          <w:color w:val="224DC1"/>
          <w:spacing w:val="1"/>
          <w:szCs w:val="32"/>
          <w:rtl/>
          <w:lang w:val="ar"/>
        </w:rPr>
        <w:t>تعرَّف على المزيد</w:t>
      </w:r>
    </w:p>
    <w:p w14:paraId="022FD061" w14:textId="63D85889" w:rsidR="00A04C0A" w:rsidRPr="000B088A" w:rsidRDefault="000F5EFF" w:rsidP="00B63E16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سنواصل العمل لحماية الخصوصية والحفاظ على البيانات آمنة ومأمونة أثناء تطوير </w:t>
      </w:r>
      <w:r w:rsidR="00F56D0C">
        <w:rPr>
          <w:rFonts w:ascii="Dubai" w:hAnsi="Dubai" w:cs="Dubai"/>
          <w:spacing w:val="1"/>
          <w:rtl/>
          <w:lang w:val="ar"/>
        </w:rPr>
        <w:t>أصل</w:t>
      </w:r>
      <w:r w:rsidRPr="000B088A">
        <w:rPr>
          <w:rFonts w:ascii="Dubai" w:hAnsi="Dubai" w:cs="Dubai"/>
          <w:spacing w:val="1"/>
          <w:rtl/>
          <w:lang w:val="ar"/>
        </w:rPr>
        <w:t xml:space="preserve"> بيانات الإعاقة الوطنية. </w:t>
      </w:r>
    </w:p>
    <w:p w14:paraId="7F59BC3A" w14:textId="7DC95CAE" w:rsidR="007513A8" w:rsidRPr="000B088A" w:rsidRDefault="000F5EFF" w:rsidP="007513A8">
      <w:pPr>
        <w:bidi/>
        <w:spacing w:before="120" w:after="120" w:line="264" w:lineRule="auto"/>
        <w:rPr>
          <w:rFonts w:ascii="Dubai" w:hAnsi="Dubai" w:cs="Dubai"/>
        </w:rPr>
      </w:pPr>
      <w:r w:rsidRPr="000B088A">
        <w:rPr>
          <w:rFonts w:ascii="Dubai" w:hAnsi="Dubai" w:cs="Dubai"/>
          <w:rtl/>
          <w:lang w:val="ar"/>
        </w:rPr>
        <w:t xml:space="preserve">اكتشف المزيد على </w:t>
      </w:r>
      <w:hyperlink r:id="rId12" w:history="1">
        <w:r w:rsidR="007513A8" w:rsidRPr="000B088A">
          <w:rPr>
            <w:rStyle w:val="Hyperlink"/>
            <w:rFonts w:ascii="Dubai" w:hAnsi="Dubai" w:cs="Dubai"/>
            <w:rtl/>
            <w:lang w:val="ar"/>
          </w:rPr>
          <w:t xml:space="preserve">موقع </w:t>
        </w:r>
        <w:r w:rsidR="00F56D0C">
          <w:rPr>
            <w:rStyle w:val="Hyperlink"/>
            <w:rFonts w:ascii="Dubai" w:hAnsi="Dubai" w:cs="Dubai"/>
            <w:rtl/>
            <w:lang w:val="ar"/>
          </w:rPr>
          <w:t>أصل</w:t>
        </w:r>
        <w:r w:rsidR="007513A8" w:rsidRPr="000B088A">
          <w:rPr>
            <w:rStyle w:val="Hyperlink"/>
            <w:rFonts w:ascii="Dubai" w:hAnsi="Dubai" w:cs="Dubai"/>
            <w:rtl/>
            <w:lang w:val="ar"/>
          </w:rPr>
          <w:t xml:space="preserve"> بيانات الإعاقة الوطنية الإلكتروني</w:t>
        </w:r>
      </w:hyperlink>
      <w:r w:rsidRPr="000B088A">
        <w:rPr>
          <w:rFonts w:ascii="Dubai" w:hAnsi="Dubai" w:cs="Dubai"/>
          <w:rtl/>
          <w:lang w:val="ar"/>
        </w:rPr>
        <w:t>.</w:t>
      </w:r>
    </w:p>
    <w:p w14:paraId="2A7F7AB1" w14:textId="5738BC7D" w:rsidR="00694951" w:rsidRPr="0066045E" w:rsidRDefault="000F5EFF" w:rsidP="008C258F">
      <w:pPr>
        <w:bidi/>
        <w:spacing w:before="120" w:after="120" w:line="264" w:lineRule="auto"/>
        <w:rPr>
          <w:rFonts w:ascii="Dubai" w:hAnsi="Dubai" w:cs="Dubai"/>
          <w:spacing w:val="1"/>
        </w:rPr>
      </w:pPr>
      <w:r w:rsidRPr="000B088A">
        <w:rPr>
          <w:rFonts w:ascii="Dubai" w:hAnsi="Dubai" w:cs="Dubai"/>
          <w:spacing w:val="1"/>
          <w:rtl/>
          <w:lang w:val="ar"/>
        </w:rPr>
        <w:t xml:space="preserve">يمكنك أيضًا إرسال الأسئلة بالبريد الإلكتروني إلى </w:t>
      </w:r>
      <w:hyperlink r:id="rId13" w:history="1">
        <w:r w:rsidR="00B27F02" w:rsidRPr="000B088A">
          <w:rPr>
            <w:rStyle w:val="Hyperlink"/>
            <w:rFonts w:ascii="Dubai" w:hAnsi="Dubai" w:cs="Dubai"/>
            <w:spacing w:val="1"/>
            <w:rtl/>
            <w:lang w:val="ar"/>
          </w:rPr>
          <w:t>ndda@abs.gov.au</w:t>
        </w:r>
      </w:hyperlink>
      <w:r w:rsidRPr="000B088A">
        <w:rPr>
          <w:rFonts w:ascii="Dubai" w:hAnsi="Dubai" w:cs="Dubai"/>
          <w:spacing w:val="1"/>
          <w:rtl/>
          <w:lang w:val="ar"/>
        </w:rPr>
        <w:t>.</w:t>
      </w:r>
    </w:p>
    <w:sectPr w:rsidR="00694951" w:rsidRPr="0066045E" w:rsidSect="000E1408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7EA95" w14:textId="77777777" w:rsidR="006B5F0F" w:rsidRDefault="006B5F0F">
      <w:pPr>
        <w:spacing w:after="0" w:line="240" w:lineRule="auto"/>
      </w:pPr>
      <w:r>
        <w:separator/>
      </w:r>
    </w:p>
  </w:endnote>
  <w:endnote w:type="continuationSeparator" w:id="0">
    <w:p w14:paraId="1276C304" w14:textId="77777777" w:rsidR="006B5F0F" w:rsidRDefault="006B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F72D" w14:textId="194692BB" w:rsidR="00A04C0A" w:rsidRPr="00F70D2C" w:rsidRDefault="00F70D2C" w:rsidP="00F70D2C">
    <w:pPr>
      <w:pStyle w:val="Footer"/>
      <w:ind w:left="-1418"/>
    </w:pPr>
    <w:r>
      <w:rPr>
        <w:noProof/>
      </w:rPr>
      <w:drawing>
        <wp:inline distT="0" distB="0" distL="0" distR="0" wp14:anchorId="4BAC8873" wp14:editId="34FB8ACE">
          <wp:extent cx="7848132" cy="184782"/>
          <wp:effectExtent l="0" t="0" r="0" b="6350"/>
          <wp:docPr id="231224739" name="Graphic 2312247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176258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993" t="1" r="-1" b="-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94081" cy="190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792B" w14:textId="77777777" w:rsidR="008634A3" w:rsidRPr="000E1408" w:rsidRDefault="008634A3" w:rsidP="008634A3">
    <w:pPr>
      <w:spacing w:after="480" w:line="240" w:lineRule="auto"/>
      <w:jc w:val="right"/>
      <w:rPr>
        <w:rFonts w:ascii="Dubai" w:eastAsia="Times New Roman" w:hAnsi="Dubai" w:cs="Dubai"/>
        <w:lang w:eastAsia="zh-CN"/>
      </w:rPr>
    </w:pPr>
    <w:r w:rsidRPr="000E1408">
      <w:rPr>
        <w:rFonts w:ascii="Dubai" w:eastAsia="Times New Roman" w:hAnsi="Dubai" w:cs="Dubai"/>
        <w:lang w:eastAsia="zh-CN"/>
      </w:rPr>
      <w:t xml:space="preserve">Arabic | </w:t>
    </w:r>
    <w:r w:rsidRPr="000E1408">
      <w:rPr>
        <w:rFonts w:ascii="Dubai" w:eastAsia="Times New Roman" w:hAnsi="Dubai" w:cs="Dubai"/>
        <w:rtl/>
        <w:lang w:eastAsia="zh-CN"/>
      </w:rPr>
      <w:t>العربية</w:t>
    </w:r>
  </w:p>
  <w:p w14:paraId="0160EA5D" w14:textId="31594D35" w:rsidR="000E1408" w:rsidRPr="008634A3" w:rsidRDefault="008634A3" w:rsidP="008634A3">
    <w:pPr>
      <w:pStyle w:val="Footer"/>
      <w:ind w:left="-1418"/>
    </w:pPr>
    <w:r>
      <w:rPr>
        <w:noProof/>
      </w:rPr>
      <w:drawing>
        <wp:inline distT="0" distB="0" distL="0" distR="0" wp14:anchorId="7B697E18" wp14:editId="191763B8">
          <wp:extent cx="7848132" cy="184782"/>
          <wp:effectExtent l="0" t="0" r="0" b="6350"/>
          <wp:docPr id="835343016" name="Graphic 8353430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176258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993" t="1" r="-1" b="-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94081" cy="190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A6D08" w14:textId="77777777" w:rsidR="006B5F0F" w:rsidRDefault="006B5F0F">
      <w:pPr>
        <w:spacing w:after="0" w:line="240" w:lineRule="auto"/>
      </w:pPr>
      <w:r>
        <w:separator/>
      </w:r>
    </w:p>
  </w:footnote>
  <w:footnote w:type="continuationSeparator" w:id="0">
    <w:p w14:paraId="40978E8C" w14:textId="77777777" w:rsidR="006B5F0F" w:rsidRDefault="006B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38602" w14:textId="77777777" w:rsidR="00A04C0A" w:rsidRDefault="000F5EFF" w:rsidP="00A04C0A">
    <w:pPr>
      <w:pStyle w:val="Header"/>
      <w:jc w:val="right"/>
    </w:pPr>
    <w:r>
      <w:rPr>
        <w:b/>
        <w:bCs/>
        <w:noProof/>
        <w:color w:val="5F497A"/>
        <w:shd w:val="clear" w:color="auto" w:fill="FFFFFF"/>
      </w:rPr>
      <w:drawing>
        <wp:inline distT="0" distB="0" distL="0" distR="0" wp14:anchorId="0A2FF2E3" wp14:editId="6C85A529">
          <wp:extent cx="1800000" cy="683082"/>
          <wp:effectExtent l="0" t="0" r="0" b="3175"/>
          <wp:docPr id="581717884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176257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83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8F576" w14:textId="77777777" w:rsidR="00A04C0A" w:rsidRDefault="00A04C0A" w:rsidP="00A04C0A">
    <w:pPr>
      <w:pStyle w:val="Header"/>
      <w:jc w:val="right"/>
    </w:pPr>
  </w:p>
  <w:p w14:paraId="563D7793" w14:textId="77777777" w:rsidR="00A04C0A" w:rsidRDefault="00A04C0A" w:rsidP="00A04C0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65DD8" w14:textId="77777777" w:rsidR="000E1408" w:rsidRDefault="000F5EFF" w:rsidP="00173F49">
    <w:pPr>
      <w:pStyle w:val="Header"/>
    </w:pPr>
    <w:r>
      <w:rPr>
        <w:b/>
        <w:bCs/>
        <w:noProof/>
        <w:color w:val="5F497A"/>
        <w:shd w:val="clear" w:color="auto" w:fill="FFFFFF"/>
      </w:rPr>
      <w:drawing>
        <wp:inline distT="0" distB="0" distL="0" distR="0" wp14:anchorId="2EC505E6" wp14:editId="57801235">
          <wp:extent cx="1800000" cy="683082"/>
          <wp:effectExtent l="0" t="0" r="0" b="3175"/>
          <wp:docPr id="618017203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83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9AD94D" w14:textId="77777777" w:rsidR="000E1408" w:rsidRDefault="000E1408" w:rsidP="00173F49">
    <w:pPr>
      <w:pStyle w:val="Header"/>
    </w:pPr>
  </w:p>
  <w:p w14:paraId="4E8F216D" w14:textId="77777777" w:rsidR="000E1408" w:rsidRPr="000E1408" w:rsidRDefault="000E1408" w:rsidP="00173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2A00"/>
    <w:multiLevelType w:val="hybridMultilevel"/>
    <w:tmpl w:val="1228ED34"/>
    <w:lvl w:ilvl="0" w:tplc="6D387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A3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0B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C6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04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0E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69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E2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EA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789"/>
    <w:multiLevelType w:val="hybridMultilevel"/>
    <w:tmpl w:val="DCC65438"/>
    <w:lvl w:ilvl="0" w:tplc="410CB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0E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4F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4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611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E1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6F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A9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E4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37E"/>
    <w:multiLevelType w:val="hybridMultilevel"/>
    <w:tmpl w:val="6F384106"/>
    <w:lvl w:ilvl="0" w:tplc="5150D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67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62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0C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48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E21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8E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CF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5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75912"/>
    <w:multiLevelType w:val="hybridMultilevel"/>
    <w:tmpl w:val="BE2401A2"/>
    <w:lvl w:ilvl="0" w:tplc="8FB82B3A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C0561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A1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C5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6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A5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64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6B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87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93533"/>
    <w:multiLevelType w:val="hybridMultilevel"/>
    <w:tmpl w:val="36665A38"/>
    <w:lvl w:ilvl="0" w:tplc="EDB03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CC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2A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69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C2F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8B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E8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AD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3E07"/>
    <w:multiLevelType w:val="hybridMultilevel"/>
    <w:tmpl w:val="984C3D3A"/>
    <w:lvl w:ilvl="0" w:tplc="A43AE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0A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EAD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4C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6B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8E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4C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0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CC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C1B0B"/>
    <w:multiLevelType w:val="hybridMultilevel"/>
    <w:tmpl w:val="78829A72"/>
    <w:lvl w:ilvl="0" w:tplc="6CAEE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66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0BF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43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46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6D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20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05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A8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5616">
    <w:abstractNumId w:val="0"/>
  </w:num>
  <w:num w:numId="2" w16cid:durableId="807668547">
    <w:abstractNumId w:val="2"/>
  </w:num>
  <w:num w:numId="3" w16cid:durableId="843741001">
    <w:abstractNumId w:val="6"/>
  </w:num>
  <w:num w:numId="4" w16cid:durableId="1187717632">
    <w:abstractNumId w:val="3"/>
  </w:num>
  <w:num w:numId="5" w16cid:durableId="127868099">
    <w:abstractNumId w:val="4"/>
  </w:num>
  <w:num w:numId="6" w16cid:durableId="20979688">
    <w:abstractNumId w:val="1"/>
  </w:num>
  <w:num w:numId="7" w16cid:durableId="1824813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0A"/>
    <w:rsid w:val="000129FC"/>
    <w:rsid w:val="000266F4"/>
    <w:rsid w:val="00037A09"/>
    <w:rsid w:val="00042FA5"/>
    <w:rsid w:val="000A2F90"/>
    <w:rsid w:val="000B088A"/>
    <w:rsid w:val="000C09CB"/>
    <w:rsid w:val="000C3C29"/>
    <w:rsid w:val="000C5552"/>
    <w:rsid w:val="000E1408"/>
    <w:rsid w:val="000F5EFF"/>
    <w:rsid w:val="001031F1"/>
    <w:rsid w:val="00142A3D"/>
    <w:rsid w:val="00157968"/>
    <w:rsid w:val="00173F49"/>
    <w:rsid w:val="00182115"/>
    <w:rsid w:val="001B7CE7"/>
    <w:rsid w:val="00201891"/>
    <w:rsid w:val="0021292C"/>
    <w:rsid w:val="00270895"/>
    <w:rsid w:val="00295F3B"/>
    <w:rsid w:val="003056DF"/>
    <w:rsid w:val="003A7381"/>
    <w:rsid w:val="003E5F3E"/>
    <w:rsid w:val="00434050"/>
    <w:rsid w:val="004B2588"/>
    <w:rsid w:val="004E2C09"/>
    <w:rsid w:val="004F5D89"/>
    <w:rsid w:val="00516A4F"/>
    <w:rsid w:val="00522001"/>
    <w:rsid w:val="00526FCD"/>
    <w:rsid w:val="005327E5"/>
    <w:rsid w:val="00575A5D"/>
    <w:rsid w:val="005D4520"/>
    <w:rsid w:val="005F50FF"/>
    <w:rsid w:val="00602B80"/>
    <w:rsid w:val="0066045E"/>
    <w:rsid w:val="00694951"/>
    <w:rsid w:val="006B5F0F"/>
    <w:rsid w:val="006C1106"/>
    <w:rsid w:val="006D165A"/>
    <w:rsid w:val="006D2BAA"/>
    <w:rsid w:val="00723934"/>
    <w:rsid w:val="0075018E"/>
    <w:rsid w:val="007513A8"/>
    <w:rsid w:val="007A55A2"/>
    <w:rsid w:val="007C0296"/>
    <w:rsid w:val="007F16F5"/>
    <w:rsid w:val="00804F20"/>
    <w:rsid w:val="008074B2"/>
    <w:rsid w:val="008540A6"/>
    <w:rsid w:val="008634A3"/>
    <w:rsid w:val="00867FEB"/>
    <w:rsid w:val="008750C0"/>
    <w:rsid w:val="008C258F"/>
    <w:rsid w:val="0091130B"/>
    <w:rsid w:val="00950D29"/>
    <w:rsid w:val="009514DE"/>
    <w:rsid w:val="00955180"/>
    <w:rsid w:val="009F061E"/>
    <w:rsid w:val="00A04C0A"/>
    <w:rsid w:val="00A60662"/>
    <w:rsid w:val="00B27F02"/>
    <w:rsid w:val="00B37B75"/>
    <w:rsid w:val="00B63E16"/>
    <w:rsid w:val="00BC315C"/>
    <w:rsid w:val="00C05914"/>
    <w:rsid w:val="00C0654C"/>
    <w:rsid w:val="00CF391C"/>
    <w:rsid w:val="00D33B07"/>
    <w:rsid w:val="00D41AAD"/>
    <w:rsid w:val="00D53DD4"/>
    <w:rsid w:val="00D55304"/>
    <w:rsid w:val="00DB1D43"/>
    <w:rsid w:val="00DC3428"/>
    <w:rsid w:val="00DC7B55"/>
    <w:rsid w:val="00DD7D89"/>
    <w:rsid w:val="00E80684"/>
    <w:rsid w:val="00E87DD0"/>
    <w:rsid w:val="00EC2936"/>
    <w:rsid w:val="00EE4471"/>
    <w:rsid w:val="00EE7E12"/>
    <w:rsid w:val="00F04ABD"/>
    <w:rsid w:val="00F54BB7"/>
    <w:rsid w:val="00F56D0C"/>
    <w:rsid w:val="00F70D2C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14E73"/>
  <w15:chartTrackingRefBased/>
  <w15:docId w15:val="{8F83D089-5CAB-403A-939E-1769781F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16"/>
    <w:rPr>
      <w:rFonts w:ascii="Montserrat" w:hAnsi="Montserrat"/>
    </w:rPr>
  </w:style>
  <w:style w:type="paragraph" w:styleId="Heading1">
    <w:name w:val="heading 1"/>
    <w:link w:val="Heading1Char"/>
    <w:uiPriority w:val="9"/>
    <w:qFormat/>
    <w:rsid w:val="00B63E16"/>
    <w:pPr>
      <w:keepNext/>
      <w:keepLines/>
      <w:spacing w:before="240" w:after="0"/>
      <w:outlineLvl w:val="0"/>
    </w:pPr>
    <w:rPr>
      <w:rFonts w:ascii="Montserrat SemiBold" w:eastAsiaTheme="majorEastAsia" w:hAnsi="Montserrat SemiBold" w:cstheme="majorBidi"/>
      <w:b/>
      <w:color w:val="04681B"/>
      <w:sz w:val="44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B63E16"/>
    <w:pPr>
      <w:spacing w:before="40"/>
      <w:outlineLvl w:val="1"/>
    </w:pPr>
    <w:rPr>
      <w:color w:val="4472C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E16"/>
    <w:pPr>
      <w:keepNext/>
      <w:keepLines/>
      <w:spacing w:before="40" w:after="0"/>
      <w:outlineLvl w:val="2"/>
    </w:pPr>
    <w:rPr>
      <w:rFonts w:ascii="Montserrat SemiBold" w:eastAsiaTheme="majorEastAsia" w:hAnsi="Montserrat SemiBold" w:cstheme="majorBidi"/>
      <w:color w:val="9618A3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0A"/>
  </w:style>
  <w:style w:type="paragraph" w:styleId="Footer">
    <w:name w:val="footer"/>
    <w:basedOn w:val="Normal"/>
    <w:link w:val="FooterChar"/>
    <w:uiPriority w:val="99"/>
    <w:unhideWhenUsed/>
    <w:rsid w:val="00A0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0A"/>
  </w:style>
  <w:style w:type="character" w:styleId="Hyperlink">
    <w:name w:val="Hyperlink"/>
    <w:basedOn w:val="DefaultParagraphFont"/>
    <w:uiPriority w:val="99"/>
    <w:unhideWhenUsed/>
    <w:rsid w:val="00A04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C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4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C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7F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3E16"/>
    <w:rPr>
      <w:rFonts w:ascii="Montserrat SemiBold" w:eastAsiaTheme="majorEastAsia" w:hAnsi="Montserrat SemiBold" w:cstheme="majorBidi"/>
      <w:b/>
      <w:color w:val="04681B"/>
      <w:sz w:val="4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E16"/>
    <w:pPr>
      <w:numPr>
        <w:ilvl w:val="1"/>
      </w:numPr>
    </w:pPr>
    <w:rPr>
      <w:rFonts w:ascii="Montserrat SemiBold" w:hAnsi="Montserrat SemiBold"/>
      <w:i/>
      <w:color w:val="595959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63E16"/>
    <w:rPr>
      <w:rFonts w:ascii="Montserrat SemiBold" w:hAnsi="Montserrat SemiBold"/>
      <w:i/>
      <w:color w:val="595959"/>
      <w:spacing w:val="15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3E16"/>
    <w:rPr>
      <w:rFonts w:ascii="Montserrat SemiBold" w:eastAsiaTheme="majorEastAsia" w:hAnsi="Montserrat SemiBold" w:cstheme="majorBidi"/>
      <w:b/>
      <w:color w:val="4472C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3E16"/>
    <w:rPr>
      <w:rFonts w:ascii="Montserrat SemiBold" w:eastAsiaTheme="majorEastAsia" w:hAnsi="Montserrat SemiBold" w:cstheme="majorBidi"/>
      <w:color w:val="9618A3"/>
      <w:sz w:val="28"/>
      <w:szCs w:val="24"/>
    </w:rPr>
  </w:style>
  <w:style w:type="paragraph" w:styleId="Revision">
    <w:name w:val="Revision"/>
    <w:hidden/>
    <w:uiPriority w:val="99"/>
    <w:semiHidden/>
    <w:rsid w:val="003A7381"/>
    <w:pPr>
      <w:spacing w:after="0" w:line="240" w:lineRule="auto"/>
    </w:pPr>
    <w:rPr>
      <w:rFonts w:ascii="Montserrat" w:hAnsi="Montserrat"/>
    </w:rPr>
  </w:style>
  <w:style w:type="character" w:styleId="FollowedHyperlink">
    <w:name w:val="FollowedHyperlink"/>
    <w:basedOn w:val="DefaultParagraphFont"/>
    <w:uiPriority w:val="99"/>
    <w:semiHidden/>
    <w:unhideWhenUsed/>
    <w:rsid w:val="00C05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about-ndda/keeping-data-safe" TargetMode="External"/><Relationship Id="rId13" Type="http://schemas.openxmlformats.org/officeDocument/2006/relationships/hyperlink" Target="mailto:ndda@abs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dda.gov.au/about-ndda/keeping-data-saf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da.gov.au/about-ndda/keeping-data-saf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dda.gov.au/about-ndda/guiding-principl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dda.gov.au/how-we-work/counci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262D-7685-4BD6-937C-DD799A46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3451</Characters>
  <Application>Microsoft Office Word</Application>
  <DocSecurity>4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تقرير تنفيذ تقييم تأثير الخصوصية لعام 2023</vt:lpstr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تقييم تأثير الخصوصية لعام 2023</dc:title>
  <dc:creator>Australian Bureau of Statisitcs</dc:creator>
  <cp:keywords>[SEC=OFFICIAL]</cp:keywords>
  <cp:lastModifiedBy>CHAPMAN, Madeleine</cp:lastModifiedBy>
  <cp:revision>2</cp:revision>
  <cp:lastPrinted>2025-03-12T03:55:00Z</cp:lastPrinted>
  <dcterms:created xsi:type="dcterms:W3CDTF">2025-04-08T02:32:00Z</dcterms:created>
  <dcterms:modified xsi:type="dcterms:W3CDTF">2025-04-08T02:32:00Z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v=2022.1;a=SHA256;h=927DEA3D24CE0B8EAB50288B52991B28ACBE209E645A9CB9DD5C0B1ED6EF1D2D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2025-04-08T02:31:53Z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2025-04-08T02:31:53Z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1284fd4ec99e46ca965670c0a350d68f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3E8E428EF4EF388FC084C9D81EDEBC2AE2B0F802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A64EABFB3970434FB0FCD1D18C645AA6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B984E17FAB7D793CF3FE8C8E9C7EBCD1F75FE33AE1AC9A8C59E97502D6BA6677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0B4EE4AED0EB6276F22FDFB8CC13C3C3</vt:lpwstr>
  </property>
  <property fmtid="{D5CDD505-2E9C-101B-9397-08002B2CF9AE}" pid="32" name="PM_Hash_Salt">
    <vt:lpwstr>0B4EE4AED0EB6276F22FDFB8CC13C3C3</vt:lpwstr>
  </property>
  <property fmtid="{D5CDD505-2E9C-101B-9397-08002B2CF9AE}" pid="33" name="PM_Hash_SHA1">
    <vt:lpwstr>70778AE489F6C1BD8CEC3BF07411ABFC2CFAE685</vt:lpwstr>
  </property>
</Properties>
</file>