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03C6" w14:textId="77777777" w:rsidR="00A04C0A" w:rsidRPr="002D363F" w:rsidRDefault="0044148E" w:rsidP="00B55C5D">
      <w:pPr>
        <w:pStyle w:val="Heading1"/>
        <w:keepNext w:val="0"/>
        <w:keepLines w:val="0"/>
        <w:spacing w:before="120" w:after="120" w:line="288" w:lineRule="auto"/>
        <w:ind w:right="996"/>
        <w:rPr>
          <w:spacing w:val="1"/>
          <w:lang w:val="it-IT"/>
        </w:rPr>
      </w:pPr>
      <w:r w:rsidRPr="00F36795">
        <w:rPr>
          <w:spacing w:val="1"/>
          <w:lang w:val="it"/>
        </w:rPr>
        <w:t>Relazione di attuazione della Valutazione d'impatto sulla privacy del 2023</w:t>
      </w:r>
    </w:p>
    <w:p w14:paraId="3B657C66" w14:textId="2C45AEDD" w:rsidR="00A04C0A" w:rsidRPr="002D363F" w:rsidRDefault="00000D33" w:rsidP="00B63E16">
      <w:pPr>
        <w:pStyle w:val="Subtitle"/>
        <w:spacing w:before="120" w:after="120" w:line="264" w:lineRule="auto"/>
        <w:rPr>
          <w:spacing w:val="1"/>
          <w:lang w:val="it-IT"/>
        </w:rPr>
      </w:pPr>
      <w:r>
        <w:rPr>
          <w:spacing w:val="1"/>
          <w:lang w:val="it"/>
        </w:rPr>
        <w:t>Asset</w:t>
      </w:r>
      <w:r w:rsidRPr="00F36795">
        <w:rPr>
          <w:spacing w:val="1"/>
          <w:lang w:val="it"/>
        </w:rPr>
        <w:t xml:space="preserve"> </w:t>
      </w:r>
      <w:r w:rsidR="0044148E" w:rsidRPr="00F36795">
        <w:rPr>
          <w:spacing w:val="1"/>
          <w:lang w:val="it"/>
        </w:rPr>
        <w:t>nazionale dei dati sulla disabilità (National Disability Data Asset) e Infrastruttura nazionale australiana per l'integrazione dei dati (Australian National Data Integration Infrastructure)</w:t>
      </w:r>
    </w:p>
    <w:p w14:paraId="3F623B1B" w14:textId="5130F0C8" w:rsidR="00A04C0A" w:rsidRPr="002D363F" w:rsidRDefault="0044148E" w:rsidP="00E17760">
      <w:pPr>
        <w:spacing w:before="120" w:after="120" w:line="264" w:lineRule="auto"/>
        <w:ind w:right="146"/>
        <w:rPr>
          <w:spacing w:val="1"/>
          <w:lang w:val="it-IT"/>
        </w:rPr>
      </w:pPr>
      <w:r w:rsidRPr="00F36795">
        <w:rPr>
          <w:spacing w:val="1"/>
          <w:lang w:val="it"/>
        </w:rPr>
        <w:t>L'A</w:t>
      </w:r>
      <w:r w:rsidR="00000D33">
        <w:rPr>
          <w:spacing w:val="1"/>
          <w:lang w:val="it"/>
        </w:rPr>
        <w:t>sset</w:t>
      </w:r>
      <w:r w:rsidRPr="00F36795">
        <w:rPr>
          <w:spacing w:val="1"/>
          <w:lang w:val="it"/>
        </w:rPr>
        <w:t xml:space="preserve"> nazionale dei dati sulla disabilità raggruppa informazioni che riguardano tutti gli australiani. Questo ci aiuta a comprendere meglio e a soddisfare le esigenze delle persone con disabilità. </w:t>
      </w:r>
    </w:p>
    <w:p w14:paraId="368263C9" w14:textId="5D9214ED" w:rsidR="00A04C0A" w:rsidRPr="002D363F" w:rsidRDefault="0044148E" w:rsidP="003908A2">
      <w:pPr>
        <w:spacing w:before="120" w:after="120" w:line="264" w:lineRule="auto"/>
        <w:ind w:right="429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L'Infrastruttura nazionale australiana per l'integrazione dei dati è il sistema di base che ci consente di collegare i dati destinati </w:t>
      </w:r>
      <w:r w:rsidR="00000D33">
        <w:rPr>
          <w:spacing w:val="1"/>
          <w:lang w:val="it"/>
        </w:rPr>
        <w:t>all’Asset</w:t>
      </w:r>
      <w:r w:rsidRPr="00F36795">
        <w:rPr>
          <w:spacing w:val="1"/>
          <w:lang w:val="it"/>
        </w:rPr>
        <w:t xml:space="preserve"> nazionale dei dati sulla disabilità. </w:t>
      </w:r>
    </w:p>
    <w:p w14:paraId="433ADBDA" w14:textId="4839B3FF" w:rsidR="00A04C0A" w:rsidRPr="002D363F" w:rsidRDefault="0044148E" w:rsidP="003908A2">
      <w:pPr>
        <w:spacing w:before="120" w:after="120" w:line="264" w:lineRule="auto"/>
        <w:ind w:right="288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Nel 2023 è stata effettuata una </w:t>
      </w:r>
      <w:hyperlink r:id="rId7" w:history="1">
        <w:r w:rsidR="00A04C0A" w:rsidRPr="00F36795">
          <w:rPr>
            <w:rStyle w:val="Hyperlink"/>
            <w:spacing w:val="1"/>
            <w:lang w:val="it"/>
          </w:rPr>
          <w:t>Valutazione d'impatto sulla privacy</w:t>
        </w:r>
      </w:hyperlink>
      <w:r w:rsidRPr="00F36795">
        <w:rPr>
          <w:spacing w:val="1"/>
          <w:lang w:val="it"/>
        </w:rPr>
        <w:t xml:space="preserve"> (Privacy Impact Assessment - PIA) riguardante l'A</w:t>
      </w:r>
      <w:r w:rsidR="00000D33">
        <w:rPr>
          <w:spacing w:val="1"/>
          <w:lang w:val="it"/>
        </w:rPr>
        <w:t>sset</w:t>
      </w:r>
      <w:r w:rsidRPr="00F36795">
        <w:rPr>
          <w:spacing w:val="1"/>
          <w:lang w:val="it"/>
        </w:rPr>
        <w:t xml:space="preserve"> nazionale dei dati sulla disabilità. La Valutazione d'impatto sulla privacy ha formulato delle raccomandazioni su come gestire, ridurre o rimuovere i rischi per la privacy.</w:t>
      </w:r>
    </w:p>
    <w:p w14:paraId="44111F20" w14:textId="68BB06B1" w:rsidR="00A04C0A" w:rsidRPr="002D363F" w:rsidRDefault="0044148E" w:rsidP="00B63E16">
      <w:pPr>
        <w:spacing w:before="12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>Il Ministero dei servizi sociali, l'Australian Bureau of Statistics e l'Istituto australiano per la salute e il benessere stanno collaborando al progetto relativo all'A</w:t>
      </w:r>
      <w:r w:rsidR="00000D33">
        <w:rPr>
          <w:spacing w:val="1"/>
          <w:lang w:val="it"/>
        </w:rPr>
        <w:t>sset</w:t>
      </w:r>
      <w:r w:rsidRPr="00F36795">
        <w:rPr>
          <w:spacing w:val="1"/>
          <w:lang w:val="it"/>
        </w:rPr>
        <w:t xml:space="preserve"> nazionale dei dati sulla disabilità. Questa relazione ha l'obiettivo di descrivere quali azioni sono state intraprese per soddisfare le raccomandazioni formulate nella Valutazione d'impatto sulla privacy.</w:t>
      </w:r>
    </w:p>
    <w:p w14:paraId="5FE3DBCD" w14:textId="77777777" w:rsidR="00A04C0A" w:rsidRPr="002D363F" w:rsidRDefault="0044148E" w:rsidP="006F2F5B">
      <w:pPr>
        <w:pStyle w:val="Heading2"/>
        <w:spacing w:before="240" w:after="120" w:line="240" w:lineRule="auto"/>
        <w:rPr>
          <w:color w:val="224DC1"/>
          <w:spacing w:val="1"/>
          <w:lang w:val="it-IT"/>
        </w:rPr>
      </w:pPr>
      <w:r w:rsidRPr="00F36795">
        <w:rPr>
          <w:color w:val="224DC1"/>
          <w:spacing w:val="1"/>
          <w:lang w:val="it"/>
        </w:rPr>
        <w:t>Implementazione delle raccomandazioni della Valutazione d'impatto sulla privacy</w:t>
      </w:r>
    </w:p>
    <w:p w14:paraId="437424C2" w14:textId="77777777" w:rsidR="00A04C0A" w:rsidRPr="002D363F" w:rsidRDefault="0044148E" w:rsidP="006F2F5B">
      <w:pPr>
        <w:keepNext/>
        <w:keepLines/>
        <w:spacing w:before="12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La Valutazione d'impatto sulla privacy ha formulato sei raccomandazioni. </w:t>
      </w:r>
    </w:p>
    <w:p w14:paraId="59B305C9" w14:textId="69FC91F5" w:rsidR="00A04C0A" w:rsidRPr="002D363F" w:rsidRDefault="0044148E" w:rsidP="006F2F5B">
      <w:pPr>
        <w:keepNext/>
        <w:keepLines/>
        <w:spacing w:before="12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L'attuazione delle raccomandazioni ha comportato la collaborazione tra le parti interessate e i gruppi di governance, incluso il </w:t>
      </w:r>
      <w:hyperlink r:id="rId8" w:history="1">
        <w:r w:rsidR="00A04C0A" w:rsidRPr="00F36795">
          <w:rPr>
            <w:rStyle w:val="Hyperlink"/>
            <w:spacing w:val="1"/>
            <w:lang w:val="it"/>
          </w:rPr>
          <w:t>Comitato direttivo dell'A</w:t>
        </w:r>
        <w:r w:rsidR="00000D33">
          <w:rPr>
            <w:rStyle w:val="Hyperlink"/>
            <w:spacing w:val="1"/>
            <w:lang w:val="it"/>
          </w:rPr>
          <w:t>sset</w:t>
        </w:r>
        <w:r w:rsidR="00A04C0A" w:rsidRPr="00F36795">
          <w:rPr>
            <w:rStyle w:val="Hyperlink"/>
            <w:spacing w:val="1"/>
            <w:lang w:val="it"/>
          </w:rPr>
          <w:t xml:space="preserve"> nazionale dei dati sulla disabilità </w:t>
        </w:r>
      </w:hyperlink>
      <w:r w:rsidRPr="00F36795">
        <w:rPr>
          <w:spacing w:val="1"/>
          <w:lang w:val="it"/>
        </w:rPr>
        <w:t>(il Comitato) e il Consiglio d'amministrazione dell'Infrastruttura nazionale australiana per l'integrazione dei dati (il Consiglio d'amministrazione).</w:t>
      </w:r>
    </w:p>
    <w:p w14:paraId="43F1CBA8" w14:textId="77777777" w:rsidR="002B0423" w:rsidRPr="002D363F" w:rsidRDefault="0044148E" w:rsidP="00F36795">
      <w:pPr>
        <w:spacing w:before="120" w:after="120" w:line="264" w:lineRule="auto"/>
        <w:rPr>
          <w:spacing w:val="8"/>
          <w:lang w:val="it-IT"/>
        </w:rPr>
      </w:pPr>
      <w:r w:rsidRPr="00F36795">
        <w:rPr>
          <w:lang w:val="it"/>
        </w:rPr>
        <w:t xml:space="preserve">Cinque delle sei raccomandazioni sono ora state adottate. La raccomandazione 1 è stata quasi completamente adottata. </w:t>
      </w:r>
    </w:p>
    <w:p w14:paraId="2E1ECB7E" w14:textId="6CC50351" w:rsidR="002B0423" w:rsidRPr="002D363F" w:rsidRDefault="0044148E" w:rsidP="002B0423">
      <w:pPr>
        <w:pStyle w:val="Heading3"/>
        <w:spacing w:before="160" w:after="80" w:line="264" w:lineRule="auto"/>
        <w:rPr>
          <w:spacing w:val="8"/>
          <w:lang w:val="it-IT"/>
        </w:rPr>
      </w:pPr>
      <w:r w:rsidRPr="00F36795">
        <w:rPr>
          <w:spacing w:val="8"/>
          <w:lang w:val="it"/>
        </w:rPr>
        <w:lastRenderedPageBreak/>
        <w:t xml:space="preserve">Raccomandazione 1: </w:t>
      </w:r>
      <w:r w:rsidR="00AC022E">
        <w:rPr>
          <w:spacing w:val="8"/>
          <w:lang w:val="it"/>
        </w:rPr>
        <w:t>p</w:t>
      </w:r>
      <w:r w:rsidRPr="00F36795">
        <w:rPr>
          <w:spacing w:val="8"/>
          <w:lang w:val="it"/>
        </w:rPr>
        <w:t xml:space="preserve">rincipi per l'aggiunta futura di set di dati </w:t>
      </w:r>
      <w:r w:rsidR="00000D33" w:rsidRPr="00F36795">
        <w:rPr>
          <w:spacing w:val="8"/>
          <w:lang w:val="it"/>
        </w:rPr>
        <w:t>nell'</w:t>
      </w:r>
      <w:r w:rsidR="00000D33" w:rsidRPr="00F36795">
        <w:rPr>
          <w:lang w:val="it"/>
        </w:rPr>
        <w:t>A</w:t>
      </w:r>
      <w:r w:rsidR="00000D33">
        <w:rPr>
          <w:lang w:val="it"/>
        </w:rPr>
        <w:t>sset</w:t>
      </w:r>
      <w:r w:rsidR="00000D33" w:rsidRPr="00F36795">
        <w:rPr>
          <w:lang w:val="it"/>
        </w:rPr>
        <w:t xml:space="preserve"> </w:t>
      </w:r>
      <w:r w:rsidRPr="00F36795">
        <w:rPr>
          <w:lang w:val="it"/>
        </w:rPr>
        <w:t>nazionale dei dati sulla disabilità</w:t>
      </w:r>
      <w:r w:rsidRPr="00F36795">
        <w:rPr>
          <w:spacing w:val="8"/>
          <w:lang w:val="it"/>
        </w:rPr>
        <w:t xml:space="preserve">. </w:t>
      </w:r>
    </w:p>
    <w:p w14:paraId="6E7163FB" w14:textId="45A46570" w:rsidR="002B0423" w:rsidRPr="002D363F" w:rsidRDefault="0044148E" w:rsidP="002B0423">
      <w:pPr>
        <w:spacing w:before="120" w:after="120" w:line="264" w:lineRule="auto"/>
        <w:rPr>
          <w:spacing w:val="8"/>
          <w:lang w:val="it-IT"/>
        </w:rPr>
      </w:pPr>
      <w:r w:rsidRPr="00F36795">
        <w:rPr>
          <w:lang w:val="it"/>
        </w:rPr>
        <w:t>Il Consiglio sta mettendo a punto una serie di principi. I principi guideranno le decisioni sull'opportunità o meno di includere i set di dati nell'A</w:t>
      </w:r>
      <w:r w:rsidR="00000D33">
        <w:rPr>
          <w:lang w:val="it"/>
        </w:rPr>
        <w:t>sset</w:t>
      </w:r>
      <w:r w:rsidR="00D03300">
        <w:rPr>
          <w:lang w:val="it"/>
        </w:rPr>
        <w:t xml:space="preserve"> </w:t>
      </w:r>
      <w:r w:rsidRPr="00F36795">
        <w:rPr>
          <w:lang w:val="it"/>
        </w:rPr>
        <w:t xml:space="preserve">nazionale dei dati sulla disabilità. </w:t>
      </w:r>
    </w:p>
    <w:p w14:paraId="0F1591C4" w14:textId="29CBB8F0" w:rsidR="002B0423" w:rsidRPr="002D363F" w:rsidRDefault="0044148E" w:rsidP="002B0423">
      <w:pPr>
        <w:spacing w:before="120" w:after="120" w:line="264" w:lineRule="auto"/>
        <w:rPr>
          <w:spacing w:val="8"/>
          <w:lang w:val="it-IT"/>
        </w:rPr>
      </w:pPr>
      <w:r w:rsidRPr="00F36795">
        <w:rPr>
          <w:lang w:val="it"/>
        </w:rPr>
        <w:t xml:space="preserve">I principi avranno effetto insieme allo </w:t>
      </w:r>
      <w:hyperlink r:id="rId9" w:history="1">
        <w:r w:rsidR="002B0423" w:rsidRPr="00F36795">
          <w:rPr>
            <w:rStyle w:val="Hyperlink"/>
            <w:lang w:val="it"/>
          </w:rPr>
          <w:t>Statuto dell'A</w:t>
        </w:r>
        <w:r w:rsidR="00000D33">
          <w:rPr>
            <w:rStyle w:val="Hyperlink"/>
            <w:lang w:val="it"/>
          </w:rPr>
          <w:t>sset</w:t>
        </w:r>
        <w:r w:rsidR="002B0423" w:rsidRPr="00F36795">
          <w:rPr>
            <w:rStyle w:val="Hyperlink"/>
            <w:lang w:val="it"/>
          </w:rPr>
          <w:t xml:space="preserve"> nazionale dei dati sulla disabilità</w:t>
        </w:r>
      </w:hyperlink>
      <w:r w:rsidRPr="00F36795">
        <w:rPr>
          <w:lang w:val="it"/>
        </w:rPr>
        <w:t xml:space="preserve"> (lo Statuto). Lo Statuto spiega come l'A</w:t>
      </w:r>
      <w:r w:rsidR="007D2372">
        <w:rPr>
          <w:lang w:val="it"/>
        </w:rPr>
        <w:t>sset</w:t>
      </w:r>
      <w:r w:rsidRPr="00F36795">
        <w:rPr>
          <w:lang w:val="it"/>
        </w:rPr>
        <w:t xml:space="preserve"> nazionale dei dati sulla disabilità dovrebbe e non dovrebbe essere utilizzato, elencando una serie di principi e regole.</w:t>
      </w:r>
    </w:p>
    <w:p w14:paraId="4985D02A" w14:textId="5068B043" w:rsidR="002B0423" w:rsidRPr="002D363F" w:rsidRDefault="0044148E" w:rsidP="002B0423">
      <w:pPr>
        <w:spacing w:before="120" w:after="120" w:line="264" w:lineRule="auto"/>
        <w:rPr>
          <w:spacing w:val="8"/>
          <w:lang w:val="it-IT"/>
        </w:rPr>
      </w:pPr>
      <w:r w:rsidRPr="00F36795">
        <w:rPr>
          <w:lang w:val="it"/>
        </w:rPr>
        <w:t>Una volta che il Consiglio avrà terminato di lavorare sui principi per l'aggiunta dei set di dati, li condivideremo sul sito web dell'A</w:t>
      </w:r>
      <w:r w:rsidR="00000D33">
        <w:rPr>
          <w:lang w:val="it"/>
        </w:rPr>
        <w:t>sset</w:t>
      </w:r>
      <w:r w:rsidRPr="00F36795">
        <w:rPr>
          <w:lang w:val="it"/>
        </w:rPr>
        <w:t xml:space="preserve"> nazionale dei dati sulla disabilità</w:t>
      </w:r>
      <w:r w:rsidR="00D03300">
        <w:rPr>
          <w:lang w:val="it"/>
        </w:rPr>
        <w:t xml:space="preserve">. </w:t>
      </w:r>
      <w:r w:rsidRPr="00F36795">
        <w:rPr>
          <w:lang w:val="it"/>
        </w:rPr>
        <w:t>Questo avverrà nella prima metà del 2025.</w:t>
      </w:r>
    </w:p>
    <w:p w14:paraId="2D8FAB6F" w14:textId="77777777" w:rsidR="00A04C0A" w:rsidRPr="002D363F" w:rsidRDefault="0044148E" w:rsidP="00B63E16">
      <w:pPr>
        <w:pStyle w:val="Heading3"/>
        <w:spacing w:before="160" w:after="8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Raccomandazione 2: avvisi di raccolta per i fornitori di dati </w:t>
      </w:r>
    </w:p>
    <w:p w14:paraId="7BB0826F" w14:textId="134AC6CD" w:rsidR="00A04C0A" w:rsidRPr="002D363F" w:rsidRDefault="0044148E" w:rsidP="00524DD8">
      <w:pPr>
        <w:spacing w:before="120" w:after="120" w:line="264" w:lineRule="auto"/>
        <w:ind w:right="429"/>
        <w:rPr>
          <w:spacing w:val="1"/>
          <w:lang w:val="it-IT"/>
        </w:rPr>
      </w:pPr>
      <w:r w:rsidRPr="00F36795">
        <w:rPr>
          <w:spacing w:val="1"/>
          <w:lang w:val="it"/>
        </w:rPr>
        <w:t>I fornitori di dati sono agenzie governative che forniscono dati all'A</w:t>
      </w:r>
      <w:r w:rsidR="00000D33">
        <w:rPr>
          <w:spacing w:val="1"/>
          <w:lang w:val="it"/>
        </w:rPr>
        <w:t>sset</w:t>
      </w:r>
      <w:r w:rsidRPr="00F36795">
        <w:rPr>
          <w:spacing w:val="1"/>
          <w:lang w:val="it"/>
        </w:rPr>
        <w:t xml:space="preserve"> nazionale dei dati sulla disabilità e al suo sistema di base. Per soddisfare la raccomandazione, abbiamo creato delle frasi standard che i fornitori di dati possono utilizzare all'interno dei loro avvisi di raccolta dati per l'A</w:t>
      </w:r>
      <w:r w:rsidR="00000D33">
        <w:rPr>
          <w:spacing w:val="1"/>
          <w:lang w:val="it"/>
        </w:rPr>
        <w:t>sset</w:t>
      </w:r>
      <w:r w:rsidRPr="00F36795">
        <w:rPr>
          <w:spacing w:val="1"/>
          <w:lang w:val="it"/>
        </w:rPr>
        <w:t xml:space="preserve"> nazionale dei dati sulla disabilità. I fornitori di dati comunicano questi avvisi quando chiedono il permesso per raccogliere informazioni personali.</w:t>
      </w:r>
    </w:p>
    <w:p w14:paraId="3D88D69C" w14:textId="36B9657D" w:rsidR="00A04C0A" w:rsidRPr="002D363F" w:rsidRDefault="0044148E" w:rsidP="00524DD8">
      <w:pPr>
        <w:spacing w:before="120" w:after="120" w:line="264" w:lineRule="auto"/>
        <w:ind w:right="288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Abbiamo provveduto ad inviare le frasi standard ai fornitori di dati alla fine del 2024. I fornitori di dati possono aggiornare le frasi che già utilizzano o aggiungere queste nuove frasi ai loro avvisi. Le frasi includono un link </w:t>
      </w:r>
      <w:hyperlink r:id="rId10" w:history="1">
        <w:r w:rsidR="00A04C0A" w:rsidRPr="00F36795">
          <w:rPr>
            <w:rStyle w:val="Hyperlink"/>
            <w:spacing w:val="1"/>
            <w:lang w:val="it"/>
          </w:rPr>
          <w:t>all'informativa sulla privacy completa</w:t>
        </w:r>
      </w:hyperlink>
      <w:r w:rsidRPr="00F36795">
        <w:rPr>
          <w:spacing w:val="1"/>
          <w:lang w:val="it"/>
        </w:rPr>
        <w:t xml:space="preserve"> riportata sul sito internet dell'A</w:t>
      </w:r>
      <w:r w:rsidR="00000D33">
        <w:rPr>
          <w:spacing w:val="1"/>
          <w:lang w:val="it"/>
        </w:rPr>
        <w:t>sset</w:t>
      </w:r>
      <w:r w:rsidRPr="00F36795">
        <w:rPr>
          <w:spacing w:val="1"/>
          <w:lang w:val="it"/>
        </w:rPr>
        <w:t xml:space="preserve"> nazionale dei dati sulla disabilità. </w:t>
      </w:r>
    </w:p>
    <w:p w14:paraId="459DE2EE" w14:textId="77777777" w:rsidR="00A04C0A" w:rsidRPr="002D363F" w:rsidRDefault="0044148E" w:rsidP="00AF1FEE">
      <w:pPr>
        <w:pStyle w:val="Heading3"/>
        <w:spacing w:before="160" w:after="8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Raccomandazione 3: gestione del rischio di re-identificazione dei dati tramite la revisione dei processi </w:t>
      </w:r>
    </w:p>
    <w:p w14:paraId="5517B082" w14:textId="01773D0A" w:rsidR="00A04C0A" w:rsidRPr="002D363F" w:rsidRDefault="0044148E" w:rsidP="00AF1FEE">
      <w:pPr>
        <w:keepNext/>
        <w:keepLines/>
        <w:spacing w:before="120" w:after="120" w:line="264" w:lineRule="auto"/>
        <w:ind w:right="429"/>
        <w:rPr>
          <w:spacing w:val="1"/>
          <w:lang w:val="it-IT"/>
        </w:rPr>
      </w:pPr>
      <w:r w:rsidRPr="00F36795">
        <w:rPr>
          <w:spacing w:val="1"/>
          <w:lang w:val="it"/>
        </w:rPr>
        <w:t>Abbiamo sviluppato una strategia per proteggere l'identità delle persone i cui dati sono riportati nell'A</w:t>
      </w:r>
      <w:r w:rsidR="00000D33">
        <w:rPr>
          <w:spacing w:val="1"/>
          <w:lang w:val="it"/>
        </w:rPr>
        <w:t>sset</w:t>
      </w:r>
      <w:r w:rsidRPr="00F36795">
        <w:rPr>
          <w:spacing w:val="1"/>
          <w:lang w:val="it"/>
        </w:rPr>
        <w:t xml:space="preserve"> nazionale dei dati sulla disabilità. Rivaluteremo questa strategia: </w:t>
      </w:r>
    </w:p>
    <w:p w14:paraId="08DB4239" w14:textId="77777777" w:rsidR="00A04C0A" w:rsidRPr="00F36795" w:rsidRDefault="0044148E" w:rsidP="00AF1FEE">
      <w:pPr>
        <w:pStyle w:val="ListParagraph"/>
        <w:keepNext/>
        <w:keepLines/>
        <w:numPr>
          <w:ilvl w:val="0"/>
          <w:numId w:val="3"/>
        </w:numPr>
        <w:spacing w:before="120" w:after="120" w:line="312" w:lineRule="auto"/>
        <w:ind w:left="714" w:hanging="357"/>
        <w:rPr>
          <w:spacing w:val="1"/>
        </w:rPr>
      </w:pPr>
      <w:r w:rsidRPr="00F36795">
        <w:rPr>
          <w:spacing w:val="1"/>
          <w:lang w:val="it"/>
        </w:rPr>
        <w:t xml:space="preserve">almeno una volta all'anno; </w:t>
      </w:r>
    </w:p>
    <w:p w14:paraId="5E8833C3" w14:textId="77777777" w:rsidR="00A04C0A" w:rsidRPr="002D363F" w:rsidRDefault="0044148E" w:rsidP="00AF1FEE">
      <w:pPr>
        <w:pStyle w:val="ListParagraph"/>
        <w:keepNext/>
        <w:keepLines/>
        <w:numPr>
          <w:ilvl w:val="0"/>
          <w:numId w:val="4"/>
        </w:numPr>
        <w:spacing w:before="120" w:after="120" w:line="264" w:lineRule="auto"/>
        <w:ind w:left="714" w:hanging="357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nel caso vengano riscontrati nuovi rischi o variazioni significative a quelli esistenti. </w:t>
      </w:r>
    </w:p>
    <w:p w14:paraId="2A369C61" w14:textId="77777777" w:rsidR="00A04C0A" w:rsidRPr="002D363F" w:rsidRDefault="0044148E" w:rsidP="00F36795">
      <w:pPr>
        <w:spacing w:before="12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>In questo modo ci assicuriamo di continuare a utilizzare le migliori pratiche durante la de-identificazione dei dati e la gestione dei rischi di re-identificazione. La revisione prenderà in considerazione la tecnologia e i rischi, tenendo conto dei cambiamenti che potrebbero assumere nel futuro.</w:t>
      </w:r>
    </w:p>
    <w:p w14:paraId="0C19F53B" w14:textId="77777777" w:rsidR="00A04C0A" w:rsidRPr="002D363F" w:rsidRDefault="0044148E" w:rsidP="00F36795">
      <w:pPr>
        <w:spacing w:before="160" w:after="8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Completeremo la prima revisione entro luglio 2025. </w:t>
      </w:r>
    </w:p>
    <w:p w14:paraId="5AE1908E" w14:textId="77777777" w:rsidR="00A04C0A" w:rsidRPr="002D363F" w:rsidRDefault="0044148E" w:rsidP="006F2F5B">
      <w:pPr>
        <w:pStyle w:val="Heading3"/>
        <w:spacing w:before="160" w:after="80" w:line="264" w:lineRule="auto"/>
        <w:ind w:right="-138"/>
        <w:rPr>
          <w:spacing w:val="1"/>
          <w:lang w:val="it-IT"/>
        </w:rPr>
      </w:pPr>
      <w:r w:rsidRPr="00F36795">
        <w:rPr>
          <w:spacing w:val="1"/>
          <w:lang w:val="it"/>
        </w:rPr>
        <w:lastRenderedPageBreak/>
        <w:t>Raccomandazione 4: gestire il rischio di re-identificazione delle informazioni e regole applicabili per i dati che vengono condivisi</w:t>
      </w:r>
    </w:p>
    <w:p w14:paraId="1A73734D" w14:textId="77777777" w:rsidR="00A04C0A" w:rsidRPr="00F36795" w:rsidRDefault="0044148E" w:rsidP="00B63E16">
      <w:pPr>
        <w:spacing w:before="120" w:after="120" w:line="264" w:lineRule="auto"/>
        <w:rPr>
          <w:spacing w:val="1"/>
        </w:rPr>
      </w:pPr>
      <w:r w:rsidRPr="00F36795">
        <w:rPr>
          <w:spacing w:val="1"/>
          <w:lang w:val="it"/>
        </w:rPr>
        <w:t>Nell'aprile 2024 abbiamo sviluppato:</w:t>
      </w:r>
    </w:p>
    <w:p w14:paraId="5A1B1109" w14:textId="566D46D4" w:rsidR="00A04C0A" w:rsidRPr="002D363F" w:rsidRDefault="0044148E" w:rsidP="004F5D89">
      <w:pPr>
        <w:pStyle w:val="ListParagraph"/>
        <w:numPr>
          <w:ilvl w:val="0"/>
          <w:numId w:val="5"/>
        </w:numPr>
        <w:spacing w:before="12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>una strategia per proteggere l'identità delle persone le cui informazioni si trovano all'interno dell'A</w:t>
      </w:r>
      <w:r w:rsidR="00000D33">
        <w:rPr>
          <w:spacing w:val="1"/>
          <w:lang w:val="it"/>
        </w:rPr>
        <w:t>sset</w:t>
      </w:r>
      <w:r w:rsidRPr="00F36795">
        <w:rPr>
          <w:spacing w:val="1"/>
          <w:lang w:val="it"/>
        </w:rPr>
        <w:t xml:space="preserve"> nazionale dei dati sulla disabilità; </w:t>
      </w:r>
    </w:p>
    <w:p w14:paraId="5B696BB9" w14:textId="77777777" w:rsidR="00A04C0A" w:rsidRPr="002D363F" w:rsidRDefault="0044148E" w:rsidP="00B63E16">
      <w:pPr>
        <w:pStyle w:val="ListParagraph"/>
        <w:numPr>
          <w:ilvl w:val="0"/>
          <w:numId w:val="4"/>
        </w:numPr>
        <w:spacing w:before="120" w:after="120" w:line="264" w:lineRule="auto"/>
        <w:ind w:left="357"/>
        <w:rPr>
          <w:spacing w:val="1"/>
          <w:lang w:val="it-IT"/>
        </w:rPr>
      </w:pPr>
      <w:r w:rsidRPr="00F36795">
        <w:rPr>
          <w:spacing w:val="1"/>
          <w:lang w:val="it"/>
        </w:rPr>
        <w:t>il protocollo di accesso, utilizzo e pubblicazione dei dati.</w:t>
      </w:r>
    </w:p>
    <w:p w14:paraId="76566FCC" w14:textId="39431493" w:rsidR="00A04C0A" w:rsidRPr="002D363F" w:rsidRDefault="0044148E" w:rsidP="00B63E16">
      <w:pPr>
        <w:spacing w:before="12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>Il protocollo è un insieme di regole per mantenere le informazioni presenti all'interno dell'A</w:t>
      </w:r>
      <w:r w:rsidR="00000D33">
        <w:rPr>
          <w:spacing w:val="1"/>
          <w:lang w:val="it"/>
        </w:rPr>
        <w:t>sset</w:t>
      </w:r>
      <w:r w:rsidRPr="00F36795">
        <w:rPr>
          <w:spacing w:val="1"/>
          <w:lang w:val="it"/>
        </w:rPr>
        <w:t xml:space="preserve"> nazionale dei dati sulla disabilità e nel suo sistema di base al sicuro. Comprende un processo per verificare che i risultati dell'analisi dei dati siano correttamente de-identificati prima che vengano esportati dal sistema di base.</w:t>
      </w:r>
    </w:p>
    <w:p w14:paraId="6D0BCBE9" w14:textId="77777777" w:rsidR="00A04C0A" w:rsidRPr="002D363F" w:rsidRDefault="0044148E" w:rsidP="00B63E16">
      <w:pPr>
        <w:pStyle w:val="Heading3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Raccomandazione 5: gestione delle violazioni dei dati </w:t>
      </w:r>
    </w:p>
    <w:p w14:paraId="789A8B93" w14:textId="77777777" w:rsidR="00A04C0A" w:rsidRPr="002D363F" w:rsidRDefault="0044148E" w:rsidP="00B63E16">
      <w:pPr>
        <w:spacing w:before="12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Nell'aprile del 2024, abbiamo sviluppato un Piano di risposta alle violazioni dei dati personali e agli incidenti (Data Breach and Incident Response Plan). </w:t>
      </w:r>
    </w:p>
    <w:p w14:paraId="5BE96FD3" w14:textId="77777777" w:rsidR="00A04C0A" w:rsidRPr="00F36795" w:rsidRDefault="0044148E" w:rsidP="00B63E16">
      <w:pPr>
        <w:spacing w:before="120" w:after="120" w:line="264" w:lineRule="auto"/>
        <w:rPr>
          <w:spacing w:val="1"/>
        </w:rPr>
      </w:pPr>
      <w:r w:rsidRPr="00F36795">
        <w:rPr>
          <w:spacing w:val="1"/>
          <w:lang w:val="it"/>
        </w:rPr>
        <w:t xml:space="preserve">Il piano illustra: </w:t>
      </w:r>
    </w:p>
    <w:p w14:paraId="2573E15F" w14:textId="77777777" w:rsidR="00A04C0A" w:rsidRPr="002D363F" w:rsidRDefault="0044148E" w:rsidP="006F2F5B">
      <w:pPr>
        <w:pStyle w:val="ListParagraph"/>
        <w:numPr>
          <w:ilvl w:val="0"/>
          <w:numId w:val="5"/>
        </w:numPr>
        <w:spacing w:before="12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un sistema di gestione per affrontare le violazioni dei dati personali e gli incidenti che possono colpire il sistema di base; </w:t>
      </w:r>
    </w:p>
    <w:p w14:paraId="6999CCAE" w14:textId="77777777" w:rsidR="00A04C0A" w:rsidRPr="002D363F" w:rsidRDefault="0044148E" w:rsidP="00B63E16">
      <w:pPr>
        <w:pStyle w:val="ListParagraph"/>
        <w:numPr>
          <w:ilvl w:val="0"/>
          <w:numId w:val="6"/>
        </w:numPr>
        <w:spacing w:before="12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>le azioni che ogni gruppo di governance o organizzazione coinvolta nella violazione dei dati deve intraprendere;</w:t>
      </w:r>
    </w:p>
    <w:p w14:paraId="4C4E20E0" w14:textId="77777777" w:rsidR="00A04C0A" w:rsidRPr="002D363F" w:rsidRDefault="0044148E" w:rsidP="00B63E16">
      <w:pPr>
        <w:pStyle w:val="ListParagraph"/>
        <w:numPr>
          <w:ilvl w:val="0"/>
          <w:numId w:val="7"/>
        </w:numPr>
        <w:spacing w:before="12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>chi deve essere notificato in merito a qualsiasi violazione.</w:t>
      </w:r>
    </w:p>
    <w:p w14:paraId="6C502044" w14:textId="77777777" w:rsidR="00A04C0A" w:rsidRPr="002D363F" w:rsidRDefault="0044148E" w:rsidP="00E17760">
      <w:pPr>
        <w:spacing w:before="120" w:after="120" w:line="264" w:lineRule="auto"/>
        <w:ind w:right="429"/>
        <w:rPr>
          <w:spacing w:val="1"/>
          <w:lang w:val="it-IT"/>
        </w:rPr>
      </w:pPr>
      <w:r w:rsidRPr="00F36795">
        <w:rPr>
          <w:spacing w:val="1"/>
          <w:lang w:val="it"/>
        </w:rPr>
        <w:t>In ottobre 2024, abbiamo condotto un'esercitazione per verificare se esistessero modi migliori per affrontare una violazione. Questo esercizio ci ha aiutato a migliorare i nostri processi e il Piano di risposta alle violazioni dei dati personali e agli incidenti.</w:t>
      </w:r>
    </w:p>
    <w:p w14:paraId="58F2CA50" w14:textId="77777777" w:rsidR="00A04C0A" w:rsidRPr="002D363F" w:rsidRDefault="0044148E" w:rsidP="00B63E16">
      <w:pPr>
        <w:pStyle w:val="Heading3"/>
        <w:spacing w:before="160" w:after="8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 xml:space="preserve">Raccomandazione 6: sviluppo di un quadro di conformità </w:t>
      </w:r>
    </w:p>
    <w:p w14:paraId="75483168" w14:textId="5D791D5F" w:rsidR="00A04C0A" w:rsidRPr="002D363F" w:rsidRDefault="0044148E" w:rsidP="00E17760">
      <w:pPr>
        <w:spacing w:before="120" w:after="120" w:line="264" w:lineRule="auto"/>
        <w:ind w:right="146"/>
        <w:rPr>
          <w:spacing w:val="1"/>
          <w:lang w:val="it-IT"/>
        </w:rPr>
      </w:pPr>
      <w:r w:rsidRPr="00F36795">
        <w:rPr>
          <w:spacing w:val="1"/>
          <w:lang w:val="it"/>
        </w:rPr>
        <w:t>Nel dicembre 2024, abbiamo sviluppato un quadro di conformità per l'A</w:t>
      </w:r>
      <w:r w:rsidR="007D2372">
        <w:rPr>
          <w:spacing w:val="1"/>
          <w:lang w:val="it"/>
        </w:rPr>
        <w:t>sset</w:t>
      </w:r>
      <w:r w:rsidRPr="00F36795">
        <w:rPr>
          <w:spacing w:val="1"/>
          <w:lang w:val="it"/>
        </w:rPr>
        <w:t xml:space="preserve"> nazionale dei dati sulla disabilità e il suo sistema sottostante. Il quadro aiuterà a valutare e segnalare il rispetto degli accordi di condivisione dei dati da parte di tutti gli attori coinvolti. </w:t>
      </w:r>
    </w:p>
    <w:p w14:paraId="6D9C5485" w14:textId="77777777" w:rsidR="00A04C0A" w:rsidRPr="002D363F" w:rsidRDefault="0044148E" w:rsidP="00B63E16">
      <w:pPr>
        <w:pStyle w:val="Heading2"/>
        <w:spacing w:before="24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>Per saperne di più</w:t>
      </w:r>
    </w:p>
    <w:p w14:paraId="21636855" w14:textId="0A68BAC7" w:rsidR="00A04C0A" w:rsidRPr="002D363F" w:rsidRDefault="0044148E" w:rsidP="00B63E16">
      <w:pPr>
        <w:spacing w:before="120" w:after="120" w:line="264" w:lineRule="auto"/>
        <w:rPr>
          <w:spacing w:val="1"/>
          <w:lang w:val="it-IT"/>
        </w:rPr>
      </w:pPr>
      <w:r w:rsidRPr="00F36795">
        <w:rPr>
          <w:spacing w:val="1"/>
          <w:lang w:val="it"/>
        </w:rPr>
        <w:t>Continueremo ad adoperarci per proteggere la privacy e mantenere le informazioni al sicuro mentre continuiamo a sviluppare l'A</w:t>
      </w:r>
      <w:r w:rsidR="007D2372">
        <w:rPr>
          <w:spacing w:val="1"/>
          <w:lang w:val="it"/>
        </w:rPr>
        <w:t>sset</w:t>
      </w:r>
      <w:r w:rsidRPr="00F36795">
        <w:rPr>
          <w:spacing w:val="1"/>
          <w:lang w:val="it"/>
        </w:rPr>
        <w:t xml:space="preserve"> nazionale dei dati sulla disabilità. </w:t>
      </w:r>
    </w:p>
    <w:p w14:paraId="7DA63BA6" w14:textId="6ED22208" w:rsidR="002B0423" w:rsidRPr="002D363F" w:rsidRDefault="0044148E" w:rsidP="002B0423">
      <w:pPr>
        <w:spacing w:before="120" w:after="120" w:line="264" w:lineRule="auto"/>
        <w:rPr>
          <w:lang w:val="it-IT"/>
        </w:rPr>
      </w:pPr>
      <w:bookmarkStart w:id="0" w:name="_Hlk192241771"/>
      <w:r w:rsidRPr="00F36795">
        <w:rPr>
          <w:lang w:val="it"/>
        </w:rPr>
        <w:t>Scopri di più sul sito web dell'</w:t>
      </w:r>
      <w:hyperlink r:id="rId11" w:history="1">
        <w:r w:rsidR="002B0423" w:rsidRPr="00F36795">
          <w:rPr>
            <w:rStyle w:val="Hyperlink"/>
            <w:lang w:val="it"/>
          </w:rPr>
          <w:t>A</w:t>
        </w:r>
        <w:r w:rsidR="007D2372">
          <w:rPr>
            <w:rStyle w:val="Hyperlink"/>
            <w:lang w:val="it"/>
          </w:rPr>
          <w:t>sset</w:t>
        </w:r>
        <w:r w:rsidR="002B0423" w:rsidRPr="00F36795">
          <w:rPr>
            <w:rStyle w:val="Hyperlink"/>
            <w:lang w:val="it"/>
          </w:rPr>
          <w:t xml:space="preserve"> nazionale dei dati sulla disabilità</w:t>
        </w:r>
      </w:hyperlink>
      <w:r w:rsidRPr="00F36795">
        <w:rPr>
          <w:lang w:val="it"/>
        </w:rPr>
        <w:t>.</w:t>
      </w:r>
    </w:p>
    <w:bookmarkEnd w:id="0"/>
    <w:p w14:paraId="6D4B470A" w14:textId="77777777" w:rsidR="00A04C0A" w:rsidRPr="002D363F" w:rsidRDefault="0044148E" w:rsidP="00E17760">
      <w:pPr>
        <w:spacing w:before="120" w:after="120" w:line="264" w:lineRule="auto"/>
        <w:ind w:right="288"/>
        <w:rPr>
          <w:vanish/>
          <w:spacing w:val="1"/>
          <w:lang w:val="it-IT"/>
        </w:rPr>
      </w:pPr>
      <w:r w:rsidRPr="00F36795">
        <w:rPr>
          <w:spacing w:val="1"/>
          <w:lang w:val="it"/>
        </w:rPr>
        <w:t xml:space="preserve">Nel caso di domande, ti invitiamo a inviare un'e-mail a: </w:t>
      </w:r>
      <w:hyperlink r:id="rId12" w:history="1">
        <w:r w:rsidR="00B27F02" w:rsidRPr="00F36795">
          <w:rPr>
            <w:rStyle w:val="Hyperlink"/>
            <w:spacing w:val="1"/>
            <w:lang w:val="it"/>
          </w:rPr>
          <w:t>ndda@abs.gov.au</w:t>
        </w:r>
      </w:hyperlink>
      <w:r w:rsidR="009D0F1B" w:rsidRPr="00F36795">
        <w:rPr>
          <w:lang w:val="it"/>
        </w:rPr>
        <w:t>.</w:t>
      </w:r>
    </w:p>
    <w:sectPr w:rsidR="00A04C0A" w:rsidRPr="002D363F" w:rsidSect="007849D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2F33" w14:textId="77777777" w:rsidR="00234A6A" w:rsidRDefault="00234A6A">
      <w:pPr>
        <w:spacing w:after="0" w:line="240" w:lineRule="auto"/>
      </w:pPr>
      <w:r>
        <w:separator/>
      </w:r>
    </w:p>
  </w:endnote>
  <w:endnote w:type="continuationSeparator" w:id="0">
    <w:p w14:paraId="35560AE1" w14:textId="77777777" w:rsidR="00234A6A" w:rsidRDefault="0023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04705" w14:textId="77777777" w:rsidR="00A04C0A" w:rsidRPr="00A04C0A" w:rsidRDefault="0044148E" w:rsidP="00A04C0A">
    <w:pPr>
      <w:pStyle w:val="Footer"/>
      <w:ind w:left="-1418"/>
    </w:pPr>
    <w:r>
      <w:rPr>
        <w:noProof/>
      </w:rPr>
      <w:drawing>
        <wp:inline distT="0" distB="0" distL="0" distR="0" wp14:anchorId="34D2FFB7" wp14:editId="1DA8D7DD">
          <wp:extent cx="7848132" cy="184782"/>
          <wp:effectExtent l="0" t="0" r="0" b="6350"/>
          <wp:docPr id="467176258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176258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993" t="1" r="-1" b="-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94081" cy="190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19000" w14:textId="77777777" w:rsidR="007849D8" w:rsidRPr="00EB77F0" w:rsidRDefault="0044148E" w:rsidP="007849D8">
    <w:pPr>
      <w:spacing w:after="480" w:line="240" w:lineRule="auto"/>
      <w:rPr>
        <w:rFonts w:eastAsia="Times New Roman" w:cs="Times New Roman"/>
        <w:lang w:eastAsia="zh-CN"/>
      </w:rPr>
    </w:pPr>
    <w:r w:rsidRPr="00EB77F0">
      <w:rPr>
        <w:rFonts w:eastAsia="Times New Roman" w:cs="Times New Roman"/>
        <w:lang w:eastAsia="zh-CN"/>
      </w:rPr>
      <w:t>Italian | Italiano</w:t>
    </w:r>
  </w:p>
  <w:p w14:paraId="2B6E4ABC" w14:textId="77777777" w:rsidR="007849D8" w:rsidRPr="00EB77F0" w:rsidRDefault="0044148E" w:rsidP="007849D8">
    <w:pPr>
      <w:pStyle w:val="Footer"/>
      <w:ind w:left="-1418"/>
    </w:pPr>
    <w:r w:rsidRPr="00EB77F0">
      <w:rPr>
        <w:noProof/>
      </w:rPr>
      <w:drawing>
        <wp:inline distT="0" distB="0" distL="0" distR="0" wp14:anchorId="06E2DAF6" wp14:editId="47F6C3AB">
          <wp:extent cx="7848132" cy="184782"/>
          <wp:effectExtent l="0" t="0" r="0" b="6350"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993" t="1" r="-1" b="-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94081" cy="190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806B8" w14:textId="77777777" w:rsidR="00234A6A" w:rsidRDefault="00234A6A">
      <w:pPr>
        <w:spacing w:after="0" w:line="240" w:lineRule="auto"/>
      </w:pPr>
      <w:r>
        <w:separator/>
      </w:r>
    </w:p>
  </w:footnote>
  <w:footnote w:type="continuationSeparator" w:id="0">
    <w:p w14:paraId="212AE8C3" w14:textId="77777777" w:rsidR="00234A6A" w:rsidRDefault="00234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45286" w14:textId="08302137" w:rsidR="00A04C0A" w:rsidRDefault="0044148E" w:rsidP="00F36795">
    <w:pPr>
      <w:pStyle w:val="Header"/>
      <w:jc w:val="right"/>
    </w:pPr>
    <w:r>
      <w:rPr>
        <w:b/>
        <w:bCs/>
        <w:noProof/>
        <w:color w:val="5F497A"/>
        <w:shd w:val="clear" w:color="auto" w:fill="FFFFFF"/>
      </w:rPr>
      <w:drawing>
        <wp:inline distT="0" distB="0" distL="0" distR="0" wp14:anchorId="54A36198" wp14:editId="1AE3EB9F">
          <wp:extent cx="1800000" cy="683082"/>
          <wp:effectExtent l="0" t="0" r="0" b="3175"/>
          <wp:docPr id="467176257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176257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8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4589" w14:textId="2FB9B27C" w:rsidR="007849D8" w:rsidRPr="007849D8" w:rsidRDefault="0044148E" w:rsidP="00F36795">
    <w:pPr>
      <w:pStyle w:val="Header"/>
      <w:jc w:val="right"/>
    </w:pPr>
    <w:r>
      <w:rPr>
        <w:b/>
        <w:bCs/>
        <w:noProof/>
        <w:color w:val="5F497A"/>
        <w:shd w:val="clear" w:color="auto" w:fill="FFFFFF"/>
      </w:rPr>
      <w:drawing>
        <wp:inline distT="0" distB="0" distL="0" distR="0" wp14:anchorId="716DFE97" wp14:editId="23CCE7BC">
          <wp:extent cx="1800000" cy="683082"/>
          <wp:effectExtent l="0" t="0" r="0" b="3175"/>
          <wp:docPr id="2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8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2A00"/>
    <w:multiLevelType w:val="hybridMultilevel"/>
    <w:tmpl w:val="1228ED34"/>
    <w:lvl w:ilvl="0" w:tplc="E5708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25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2C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C6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E4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40F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C38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E3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85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789"/>
    <w:multiLevelType w:val="hybridMultilevel"/>
    <w:tmpl w:val="DCC65438"/>
    <w:lvl w:ilvl="0" w:tplc="A33E1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B61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87F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A6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B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CC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66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C4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4F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37E"/>
    <w:multiLevelType w:val="hybridMultilevel"/>
    <w:tmpl w:val="6F384106"/>
    <w:lvl w:ilvl="0" w:tplc="FF04C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E67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6B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63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C0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E6B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42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CB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87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75912"/>
    <w:multiLevelType w:val="hybridMultilevel"/>
    <w:tmpl w:val="BE2401A2"/>
    <w:lvl w:ilvl="0" w:tplc="A4805E80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E58CE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B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CB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A6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CF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C6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2E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28D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93533"/>
    <w:multiLevelType w:val="hybridMultilevel"/>
    <w:tmpl w:val="36665A38"/>
    <w:lvl w:ilvl="0" w:tplc="8F82E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49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83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6C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3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404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EA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27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67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3E07"/>
    <w:multiLevelType w:val="hybridMultilevel"/>
    <w:tmpl w:val="984C3D3A"/>
    <w:lvl w:ilvl="0" w:tplc="999C8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C6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428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AE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28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CF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0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CC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66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C1B0B"/>
    <w:multiLevelType w:val="hybridMultilevel"/>
    <w:tmpl w:val="78829A72"/>
    <w:lvl w:ilvl="0" w:tplc="53C64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6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82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8A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28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9A5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C0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0D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88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755568">
    <w:abstractNumId w:val="0"/>
  </w:num>
  <w:num w:numId="2" w16cid:durableId="1128357907">
    <w:abstractNumId w:val="2"/>
  </w:num>
  <w:num w:numId="3" w16cid:durableId="1216359763">
    <w:abstractNumId w:val="6"/>
  </w:num>
  <w:num w:numId="4" w16cid:durableId="204147864">
    <w:abstractNumId w:val="3"/>
  </w:num>
  <w:num w:numId="5" w16cid:durableId="242690179">
    <w:abstractNumId w:val="4"/>
  </w:num>
  <w:num w:numId="6" w16cid:durableId="1115055029">
    <w:abstractNumId w:val="1"/>
  </w:num>
  <w:num w:numId="7" w16cid:durableId="1546409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0A"/>
    <w:rsid w:val="00000D33"/>
    <w:rsid w:val="00014A8C"/>
    <w:rsid w:val="000266F4"/>
    <w:rsid w:val="00042FA5"/>
    <w:rsid w:val="000C3C29"/>
    <w:rsid w:val="000F3A21"/>
    <w:rsid w:val="00234A6A"/>
    <w:rsid w:val="00270309"/>
    <w:rsid w:val="002B0423"/>
    <w:rsid w:val="002D363F"/>
    <w:rsid w:val="002E3BE0"/>
    <w:rsid w:val="002E6237"/>
    <w:rsid w:val="00314336"/>
    <w:rsid w:val="00326C8A"/>
    <w:rsid w:val="00383726"/>
    <w:rsid w:val="003908A2"/>
    <w:rsid w:val="0044148E"/>
    <w:rsid w:val="004652C0"/>
    <w:rsid w:val="004E2C09"/>
    <w:rsid w:val="004F5D89"/>
    <w:rsid w:val="00506202"/>
    <w:rsid w:val="00524DD8"/>
    <w:rsid w:val="00526FCD"/>
    <w:rsid w:val="005F50FF"/>
    <w:rsid w:val="00602B80"/>
    <w:rsid w:val="00694100"/>
    <w:rsid w:val="00694951"/>
    <w:rsid w:val="006F2F5B"/>
    <w:rsid w:val="00721D17"/>
    <w:rsid w:val="0077782B"/>
    <w:rsid w:val="007849D8"/>
    <w:rsid w:val="00787BF4"/>
    <w:rsid w:val="007C0296"/>
    <w:rsid w:val="007D2372"/>
    <w:rsid w:val="007F485A"/>
    <w:rsid w:val="008750C0"/>
    <w:rsid w:val="009128F2"/>
    <w:rsid w:val="00950D29"/>
    <w:rsid w:val="00972A75"/>
    <w:rsid w:val="00982679"/>
    <w:rsid w:val="009D0F1B"/>
    <w:rsid w:val="009F061E"/>
    <w:rsid w:val="00A04C0A"/>
    <w:rsid w:val="00A75086"/>
    <w:rsid w:val="00AA6174"/>
    <w:rsid w:val="00AC022E"/>
    <w:rsid w:val="00AC39B5"/>
    <w:rsid w:val="00AF1FEE"/>
    <w:rsid w:val="00B27F02"/>
    <w:rsid w:val="00B3254D"/>
    <w:rsid w:val="00B55C5D"/>
    <w:rsid w:val="00B61CFE"/>
    <w:rsid w:val="00B63E16"/>
    <w:rsid w:val="00C00A30"/>
    <w:rsid w:val="00C13B49"/>
    <w:rsid w:val="00C854E3"/>
    <w:rsid w:val="00D03300"/>
    <w:rsid w:val="00D169D4"/>
    <w:rsid w:val="00D23F14"/>
    <w:rsid w:val="00D33B07"/>
    <w:rsid w:val="00D37A4D"/>
    <w:rsid w:val="00E17760"/>
    <w:rsid w:val="00E2196F"/>
    <w:rsid w:val="00E36D34"/>
    <w:rsid w:val="00EB77F0"/>
    <w:rsid w:val="00F04ABD"/>
    <w:rsid w:val="00F36795"/>
    <w:rsid w:val="00FD5D41"/>
    <w:rsid w:val="00FF14C7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9B8D44"/>
  <w15:chartTrackingRefBased/>
  <w15:docId w15:val="{8F83D089-5CAB-403A-939E-1769781F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16"/>
    <w:rPr>
      <w:rFonts w:ascii="Montserrat" w:hAnsi="Montserrat"/>
    </w:rPr>
  </w:style>
  <w:style w:type="paragraph" w:styleId="Heading1">
    <w:name w:val="heading 1"/>
    <w:link w:val="Heading1Char"/>
    <w:uiPriority w:val="9"/>
    <w:qFormat/>
    <w:rsid w:val="00B63E16"/>
    <w:pPr>
      <w:keepNext/>
      <w:keepLines/>
      <w:spacing w:before="240" w:after="0"/>
      <w:outlineLvl w:val="0"/>
    </w:pPr>
    <w:rPr>
      <w:rFonts w:ascii="Montserrat SemiBold" w:eastAsiaTheme="majorEastAsia" w:hAnsi="Montserrat SemiBold" w:cstheme="majorBidi"/>
      <w:b/>
      <w:color w:val="04681B"/>
      <w:sz w:val="44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B63E16"/>
    <w:pPr>
      <w:spacing w:before="40"/>
      <w:outlineLvl w:val="1"/>
    </w:pPr>
    <w:rPr>
      <w:color w:val="4472C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E16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9618A3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0A"/>
  </w:style>
  <w:style w:type="paragraph" w:styleId="Footer">
    <w:name w:val="footer"/>
    <w:basedOn w:val="Normal"/>
    <w:link w:val="FooterChar"/>
    <w:uiPriority w:val="99"/>
    <w:unhideWhenUsed/>
    <w:rsid w:val="00A0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0A"/>
  </w:style>
  <w:style w:type="character" w:styleId="Hyperlink">
    <w:name w:val="Hyperlink"/>
    <w:basedOn w:val="DefaultParagraphFont"/>
    <w:uiPriority w:val="99"/>
    <w:unhideWhenUsed/>
    <w:rsid w:val="00A04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C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4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C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7F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3E16"/>
    <w:rPr>
      <w:rFonts w:ascii="Montserrat SemiBold" w:eastAsiaTheme="majorEastAsia" w:hAnsi="Montserrat SemiBold" w:cstheme="majorBidi"/>
      <w:b/>
      <w:color w:val="04681B"/>
      <w:sz w:val="4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E16"/>
    <w:pPr>
      <w:numPr>
        <w:ilvl w:val="1"/>
      </w:numPr>
    </w:pPr>
    <w:rPr>
      <w:rFonts w:ascii="Montserrat SemiBold" w:hAnsi="Montserrat SemiBold"/>
      <w:i/>
      <w:color w:val="595959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63E16"/>
    <w:rPr>
      <w:rFonts w:ascii="Montserrat SemiBold" w:hAnsi="Montserrat SemiBold"/>
      <w:i/>
      <w:color w:val="595959"/>
      <w:spacing w:val="15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3E16"/>
    <w:rPr>
      <w:rFonts w:ascii="Montserrat SemiBold" w:eastAsiaTheme="majorEastAsia" w:hAnsi="Montserrat SemiBold" w:cstheme="majorBidi"/>
      <w:b/>
      <w:color w:val="4472C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3E16"/>
    <w:rPr>
      <w:rFonts w:ascii="Montserrat SemiBold" w:eastAsiaTheme="majorEastAsia" w:hAnsi="Montserrat SemiBold" w:cstheme="majorBidi"/>
      <w:color w:val="9618A3"/>
      <w:sz w:val="28"/>
      <w:szCs w:val="24"/>
    </w:rPr>
  </w:style>
  <w:style w:type="paragraph" w:styleId="Revision">
    <w:name w:val="Revision"/>
    <w:hidden/>
    <w:uiPriority w:val="99"/>
    <w:semiHidden/>
    <w:rsid w:val="00FF14C7"/>
    <w:pPr>
      <w:spacing w:after="0" w:line="240" w:lineRule="auto"/>
    </w:pPr>
    <w:rPr>
      <w:rFonts w:ascii="Montserrat" w:hAnsi="Montserrat"/>
    </w:rPr>
  </w:style>
  <w:style w:type="character" w:styleId="FollowedHyperlink">
    <w:name w:val="FollowedHyperlink"/>
    <w:basedOn w:val="DefaultParagraphFont"/>
    <w:uiPriority w:val="99"/>
    <w:semiHidden/>
    <w:unhideWhenUsed/>
    <w:rsid w:val="00000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how-we-work/counci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dda.gov.au/about-ndda/keeping-data-safe" TargetMode="External"/><Relationship Id="rId12" Type="http://schemas.openxmlformats.org/officeDocument/2006/relationships/hyperlink" Target="mailto:ndda@abs.gov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dda.gov.au/about-ndda/keeping-data-saf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dda.gov.au/about-ndda/keeping-data-sa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dda.gov.au/about-ndda/guiding-princip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5585</Characters>
  <Application>Microsoft Office Word</Application>
  <DocSecurity>0</DocSecurity>
  <Lines>101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Relazione di attuazione della Valutazione d'impatto sulla privacy del 2023</vt:lpstr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attuazione della Valutazione d'impatto sulla privacy del 2023</dc:title>
  <dc:creator>Australian Bureau of Statisitcs</dc:creator>
  <cp:keywords>[SEC=OFFICIAL]</cp:keywords>
  <cp:lastModifiedBy>WHITER, Shaun</cp:lastModifiedBy>
  <cp:revision>2</cp:revision>
  <cp:lastPrinted>2025-03-12T03:57:00Z</cp:lastPrinted>
  <dcterms:created xsi:type="dcterms:W3CDTF">2025-04-15T01:28:00Z</dcterms:created>
  <dcterms:modified xsi:type="dcterms:W3CDTF">2025-04-15T01:28:00Z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v=2022.1;a=SHA256;h=4FF81BAFE223A1EF7412C2D6B2BCFDFAA54E9B135354B576733AF16C04475753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2025-04-08T02:36:38Z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2025-04-08T02:36:38Z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fc68ed0b8d2c4c63b2fbaef05130f82b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F2B1A0DBBCFE88AA5B1F312AB77B9B9984DBCA1F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C4278E381A9B4834888FBA836DD9394A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52B97822998D45A5FE76FBF575035034760AD13EE13D3825DB38D567D3AEDC5E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6E6CB665C634CF3FB074FA3211F434BD</vt:lpwstr>
  </property>
  <property fmtid="{D5CDD505-2E9C-101B-9397-08002B2CF9AE}" pid="32" name="PM_Hash_Salt">
    <vt:lpwstr>1B60A4AC1B18D257479A7460243A444B</vt:lpwstr>
  </property>
  <property fmtid="{D5CDD505-2E9C-101B-9397-08002B2CF9AE}" pid="33" name="PM_Hash_SHA1">
    <vt:lpwstr>E5CDA9C5145EF38D52B55EA96002542C98916349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